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2CCE" w:rsidRDefault="004F5175" w:rsidP="00B67792">
      <w:pPr>
        <w:autoSpaceDE w:val="0"/>
        <w:autoSpaceDN w:val="0"/>
        <w:adjustRightInd w:val="0"/>
        <w:rPr>
          <w:rFonts w:ascii="Garamond" w:hAnsi="Garamond" w:cs="Garamond"/>
          <w:lang w:val="en-US" w:eastAsia="en-US"/>
        </w:rPr>
      </w:pPr>
      <w:r w:rsidRPr="004F5175">
        <w:rPr>
          <w:sz w:val="28"/>
          <w:szCs w:val="28"/>
        </w:rPr>
        <w:t xml:space="preserve">2.6. </w:t>
      </w:r>
      <w:r>
        <w:rPr>
          <w:sz w:val="28"/>
          <w:szCs w:val="28"/>
        </w:rPr>
        <w:t>Надеждност след бърнинг</w:t>
      </w:r>
      <w:r>
        <w:rPr>
          <w:sz w:val="28"/>
          <w:szCs w:val="28"/>
        </w:rPr>
        <w:br/>
      </w:r>
      <w:r>
        <w:rPr>
          <w:sz w:val="28"/>
          <w:szCs w:val="28"/>
        </w:rPr>
        <w:br/>
        <w:t xml:space="preserve">    Фабричен тест разработен за проверка на системи с маргинални компоненти преди излизането им на пазара; теорията е, че бърнингът ще предпази клиента чрез ??? на най-стръмната част от кривата на ваната.</w:t>
      </w:r>
      <w:r>
        <w:rPr>
          <w:sz w:val="28"/>
          <w:szCs w:val="28"/>
        </w:rPr>
        <w:br/>
        <w:t xml:space="preserve">    Условната надеждност е полезна при описването на надеждността на даден компонент или система след </w:t>
      </w:r>
      <w:r w:rsidR="00A146D9">
        <w:rPr>
          <w:sz w:val="28"/>
          <w:szCs w:val="28"/>
        </w:rPr>
        <w:t>даден бърнинг период То или след гаранционен период То. Дефинираме условната надеждност като надеждността на дадена система, която е функционирала в продължение на период То.</w:t>
      </w:r>
      <w:r w:rsidR="00A146D9">
        <w:rPr>
          <w:sz w:val="28"/>
          <w:szCs w:val="28"/>
        </w:rPr>
        <w:br/>
      </w:r>
      <w:r w:rsidR="00DD42E1">
        <w:rPr>
          <w:sz w:val="28"/>
          <w:szCs w:val="28"/>
        </w:rPr>
        <w:t xml:space="preserve">    </w:t>
      </w:r>
      <w:r w:rsidR="00DD42E1">
        <w:rPr>
          <w:rFonts w:ascii="Garamond" w:hAnsi="Garamond" w:cs="Garamond"/>
          <w:lang w:val="en-US" w:eastAsia="en-US"/>
        </w:rPr>
        <w:t>R(t │ T</w:t>
      </w:r>
      <w:r w:rsidR="00DD42E1">
        <w:rPr>
          <w:rFonts w:ascii="Garamond" w:hAnsi="Garamond" w:cs="Garamond"/>
          <w:sz w:val="14"/>
          <w:szCs w:val="14"/>
          <w:lang w:val="en-US" w:eastAsia="en-US"/>
        </w:rPr>
        <w:t>0</w:t>
      </w:r>
      <w:r w:rsidR="00DD42E1">
        <w:rPr>
          <w:rFonts w:ascii="Garamond" w:hAnsi="Garamond" w:cs="Garamond"/>
          <w:lang w:val="en-US" w:eastAsia="en-US"/>
        </w:rPr>
        <w:t>) = Pr{T&gt; T</w:t>
      </w:r>
      <w:r w:rsidR="00DD42E1">
        <w:rPr>
          <w:rFonts w:ascii="Garamond" w:hAnsi="Garamond" w:cs="Garamond"/>
          <w:sz w:val="14"/>
          <w:szCs w:val="14"/>
          <w:lang w:val="en-US" w:eastAsia="en-US"/>
        </w:rPr>
        <w:t xml:space="preserve">0 </w:t>
      </w:r>
      <w:r w:rsidR="00DD42E1">
        <w:rPr>
          <w:rFonts w:ascii="Garamond" w:hAnsi="Garamond" w:cs="Garamond"/>
          <w:lang w:val="en-US" w:eastAsia="en-US"/>
        </w:rPr>
        <w:t>+ t │T &gt; T</w:t>
      </w:r>
      <w:r w:rsidR="00DD42E1">
        <w:rPr>
          <w:rFonts w:ascii="Garamond" w:hAnsi="Garamond" w:cs="Garamond"/>
          <w:sz w:val="14"/>
          <w:szCs w:val="14"/>
          <w:lang w:val="en-US" w:eastAsia="en-US"/>
        </w:rPr>
        <w:t xml:space="preserve">0 </w:t>
      </w:r>
      <w:r w:rsidR="00DD42E1">
        <w:rPr>
          <w:rFonts w:ascii="Garamond" w:hAnsi="Garamond" w:cs="Garamond"/>
          <w:lang w:val="en-US" w:eastAsia="en-US"/>
        </w:rPr>
        <w:t>}=Pr {T&gt;T</w:t>
      </w:r>
      <w:r w:rsidR="00DD42E1" w:rsidRPr="00DD42E1">
        <w:rPr>
          <w:rFonts w:ascii="Garamond" w:hAnsi="Garamond" w:cs="Garamond"/>
          <w:vertAlign w:val="subscript"/>
          <w:lang w:val="en-US" w:eastAsia="en-US"/>
        </w:rPr>
        <w:t>0</w:t>
      </w:r>
      <w:r w:rsidR="00DD42E1">
        <w:rPr>
          <w:rFonts w:ascii="Garamond" w:hAnsi="Garamond" w:cs="Garamond"/>
          <w:lang w:val="en-US" w:eastAsia="en-US"/>
        </w:rPr>
        <w:t xml:space="preserve"> +t}/ Pr{T&gt;T</w:t>
      </w:r>
      <w:r w:rsidR="00DD42E1" w:rsidRPr="00DD42E1">
        <w:rPr>
          <w:rFonts w:ascii="Garamond" w:hAnsi="Garamond" w:cs="Garamond"/>
          <w:vertAlign w:val="subscript"/>
          <w:lang w:val="en-US" w:eastAsia="en-US"/>
        </w:rPr>
        <w:t>0</w:t>
      </w:r>
      <w:r w:rsidR="00204712">
        <w:rPr>
          <w:rFonts w:ascii="Garamond" w:hAnsi="Garamond" w:cs="Garamond"/>
          <w:lang w:val="en-US" w:eastAsia="en-US"/>
        </w:rPr>
        <w:t>}=R(T</w:t>
      </w:r>
      <w:r w:rsidR="00204712" w:rsidRPr="00204712">
        <w:rPr>
          <w:rFonts w:ascii="Garamond" w:hAnsi="Garamond" w:cs="Garamond"/>
          <w:vertAlign w:val="subscript"/>
          <w:lang w:val="en-US" w:eastAsia="en-US"/>
        </w:rPr>
        <w:t>0</w:t>
      </w:r>
      <w:r w:rsidR="00204712">
        <w:rPr>
          <w:rFonts w:ascii="Garamond" w:hAnsi="Garamond" w:cs="Garamond"/>
          <w:vertAlign w:val="subscript"/>
          <w:lang w:val="en-US" w:eastAsia="en-US"/>
        </w:rPr>
        <w:t xml:space="preserve"> </w:t>
      </w:r>
      <w:r w:rsidR="00204712">
        <w:rPr>
          <w:rFonts w:ascii="Garamond" w:hAnsi="Garamond" w:cs="Garamond"/>
          <w:lang w:val="en-US" w:eastAsia="en-US"/>
        </w:rPr>
        <w:t>+t)/R(T</w:t>
      </w:r>
      <w:r w:rsidR="00204712" w:rsidRPr="00204712">
        <w:rPr>
          <w:rFonts w:ascii="Garamond" w:hAnsi="Garamond" w:cs="Garamond"/>
          <w:vertAlign w:val="subscript"/>
          <w:lang w:val="en-US" w:eastAsia="en-US"/>
        </w:rPr>
        <w:t>0</w:t>
      </w:r>
      <w:r w:rsidR="00204712">
        <w:rPr>
          <w:rFonts w:ascii="Garamond" w:hAnsi="Garamond" w:cs="Garamond"/>
          <w:lang w:val="en-US" w:eastAsia="en-US"/>
        </w:rPr>
        <w:t>)</w:t>
      </w:r>
    </w:p>
    <w:p w:rsidR="0005040A" w:rsidRDefault="00F52CCE" w:rsidP="00B67792">
      <w:pPr>
        <w:autoSpaceDE w:val="0"/>
        <w:autoSpaceDN w:val="0"/>
        <w:adjustRightInd w:val="0"/>
        <w:rPr>
          <w:sz w:val="28"/>
          <w:szCs w:val="28"/>
          <w:lang w:val="en-US"/>
        </w:rPr>
      </w:pPr>
      <m:oMathPara>
        <m:oMath>
          <m:r>
            <w:rPr>
              <w:rFonts w:ascii="Cambria Math" w:hAnsi="Cambria Math"/>
              <w:sz w:val="28"/>
              <w:szCs w:val="28"/>
            </w:rPr>
            <m:t>exp=</m:t>
          </m:r>
          <m:d>
            <m:dPr>
              <m:begChr m:val="["/>
              <m:endChr m:val="]"/>
              <m:ctrlPr>
                <w:rPr>
                  <w:rFonts w:ascii="Cambria Math" w:hAnsi="Cambria Math"/>
                  <w:i/>
                  <w:sz w:val="28"/>
                  <w:szCs w:val="28"/>
                </w:rPr>
              </m:ctrlPr>
            </m:dPr>
            <m:e>
              <m:f>
                <m:fPr>
                  <m:ctrlPr>
                    <w:rPr>
                      <w:rFonts w:ascii="Cambria Math" w:hAnsi="Cambria Math"/>
                      <w:i/>
                      <w:sz w:val="28"/>
                      <w:szCs w:val="28"/>
                    </w:rPr>
                  </m:ctrlPr>
                </m:fPr>
                <m:num>
                  <m:r>
                    <w:rPr>
                      <w:rFonts w:ascii="Cambria Math" w:hAnsi="Cambria Math"/>
                      <w:sz w:val="28"/>
                      <w:szCs w:val="28"/>
                    </w:rPr>
                    <m:t>-</m:t>
                  </m:r>
                  <m:nary>
                    <m:naryPr>
                      <m:limLoc m:val="subSup"/>
                      <m:ctrlPr>
                        <w:rPr>
                          <w:rFonts w:ascii="Cambria Math" w:hAnsi="Cambria Math"/>
                          <w:i/>
                          <w:sz w:val="28"/>
                          <w:szCs w:val="28"/>
                        </w:rPr>
                      </m:ctrlPr>
                    </m:naryPr>
                    <m:sub>
                      <m:r>
                        <w:rPr>
                          <w:rFonts w:ascii="Cambria Math" w:hAnsi="Cambria Math"/>
                          <w:sz w:val="28"/>
                          <w:szCs w:val="28"/>
                        </w:rPr>
                        <m:t>0</m:t>
                      </m:r>
                    </m:sub>
                    <m:sup>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0</m:t>
                          </m:r>
                        </m:sub>
                      </m:sSub>
                      <m:r>
                        <w:rPr>
                          <w:rFonts w:ascii="Cambria Math" w:hAnsi="Cambria Math"/>
                          <w:sz w:val="28"/>
                          <w:szCs w:val="28"/>
                        </w:rPr>
                        <m:t>+t</m:t>
                      </m:r>
                    </m:sup>
                    <m:e>
                      <m:r>
                        <w:rPr>
                          <w:rFonts w:ascii="Cambria Math" w:hAnsi="Cambria Math"/>
                          <w:sz w:val="28"/>
                          <w:szCs w:val="28"/>
                        </w:rPr>
                        <m:t>λ(t')dt'</m:t>
                      </m:r>
                    </m:e>
                  </m:nary>
                </m:num>
                <m:den>
                  <m:r>
                    <w:rPr>
                      <w:rFonts w:ascii="Cambria Math" w:hAnsi="Cambria Math"/>
                      <w:sz w:val="28"/>
                      <w:szCs w:val="28"/>
                    </w:rPr>
                    <m:t>-</m:t>
                  </m:r>
                  <m:nary>
                    <m:naryPr>
                      <m:limLoc m:val="subSup"/>
                      <m:ctrlPr>
                        <w:rPr>
                          <w:rFonts w:ascii="Cambria Math" w:hAnsi="Cambria Math"/>
                          <w:i/>
                          <w:sz w:val="28"/>
                          <w:szCs w:val="28"/>
                        </w:rPr>
                      </m:ctrlPr>
                    </m:naryPr>
                    <m:sub>
                      <m:r>
                        <w:rPr>
                          <w:rFonts w:ascii="Cambria Math" w:hAnsi="Cambria Math"/>
                          <w:sz w:val="28"/>
                          <w:szCs w:val="28"/>
                        </w:rPr>
                        <m:t>0</m:t>
                      </m:r>
                    </m:sub>
                    <m:sup>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0</m:t>
                          </m:r>
                        </m:sub>
                      </m:sSub>
                      <m:r>
                        <w:rPr>
                          <w:rFonts w:ascii="Cambria Math" w:hAnsi="Cambria Math"/>
                          <w:sz w:val="28"/>
                          <w:szCs w:val="28"/>
                        </w:rPr>
                        <m:t>+t</m:t>
                      </m:r>
                    </m:sup>
                    <m:e>
                      <m:r>
                        <w:rPr>
                          <w:rFonts w:ascii="Cambria Math" w:hAnsi="Cambria Math"/>
                          <w:sz w:val="28"/>
                          <w:szCs w:val="28"/>
                        </w:rPr>
                        <m:t>λ(t')dt'</m:t>
                      </m:r>
                    </m:e>
                  </m:nary>
                </m:den>
              </m:f>
            </m:e>
          </m:d>
          <m:r>
            <w:rPr>
              <w:rFonts w:ascii="Cambria Math" w:hAnsi="Cambria Math"/>
              <w:sz w:val="28"/>
              <w:szCs w:val="28"/>
            </w:rPr>
            <m:t>=exp</m:t>
          </m:r>
          <m:d>
            <m:dPr>
              <m:begChr m:val="["/>
              <m:endChr m:val="]"/>
              <m:ctrlPr>
                <w:rPr>
                  <w:rFonts w:ascii="Cambria Math" w:hAnsi="Cambria Math"/>
                  <w:i/>
                  <w:sz w:val="28"/>
                  <w:szCs w:val="28"/>
                </w:rPr>
              </m:ctrlPr>
            </m:dPr>
            <m:e>
              <m:r>
                <w:rPr>
                  <w:rFonts w:ascii="Cambria Math" w:hAnsi="Cambria Math"/>
                  <w:sz w:val="28"/>
                  <w:szCs w:val="28"/>
                </w:rPr>
                <m:t>-</m:t>
              </m:r>
              <m:nary>
                <m:naryPr>
                  <m:limLoc m:val="subSup"/>
                  <m:ctrlPr>
                    <w:rPr>
                      <w:rFonts w:ascii="Cambria Math" w:hAnsi="Cambria Math"/>
                      <w:i/>
                      <w:sz w:val="28"/>
                      <w:szCs w:val="28"/>
                    </w:rPr>
                  </m:ctrlPr>
                </m:naryPr>
                <m:sub>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0</m:t>
                      </m:r>
                    </m:sub>
                  </m:sSub>
                </m:sub>
                <m:sup>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0</m:t>
                      </m:r>
                    </m:sub>
                  </m:sSub>
                  <m:r>
                    <w:rPr>
                      <w:rFonts w:ascii="Cambria Math" w:hAnsi="Cambria Math"/>
                      <w:sz w:val="28"/>
                      <w:szCs w:val="28"/>
                    </w:rPr>
                    <m:t>+t</m:t>
                  </m:r>
                </m:sup>
                <m:e>
                  <m:r>
                    <w:rPr>
                      <w:rFonts w:ascii="Cambria Math" w:hAnsi="Cambria Math"/>
                      <w:sz w:val="28"/>
                      <w:szCs w:val="28"/>
                    </w:rPr>
                    <m:t>λ(t')dt'</m:t>
                  </m:r>
                </m:e>
              </m:nary>
            </m:e>
          </m:d>
        </m:oMath>
      </m:oMathPara>
      <w:r w:rsidR="00A146D9">
        <w:rPr>
          <w:sz w:val="28"/>
          <w:szCs w:val="28"/>
        </w:rPr>
        <w:br/>
      </w:r>
      <w:r w:rsidR="00A146D9">
        <w:rPr>
          <w:sz w:val="28"/>
          <w:szCs w:val="28"/>
        </w:rPr>
        <w:t xml:space="preserve">    Пример 2.1</w:t>
      </w:r>
      <w:r w:rsidR="00A146D9">
        <w:rPr>
          <w:sz w:val="28"/>
          <w:szCs w:val="28"/>
        </w:rPr>
        <w:br/>
      </w:r>
      <w:r w:rsidR="0005040A">
        <w:rPr>
          <w:sz w:val="28"/>
          <w:szCs w:val="28"/>
        </w:rPr>
        <w:t xml:space="preserve">Нека, </w:t>
      </w:r>
    </w:p>
    <w:p w:rsidR="00C1725D" w:rsidRDefault="0005040A" w:rsidP="00B67792">
      <w:pPr>
        <w:autoSpaceDE w:val="0"/>
        <w:autoSpaceDN w:val="0"/>
        <w:adjustRightInd w:val="0"/>
        <w:rPr>
          <w:sz w:val="28"/>
          <w:szCs w:val="28"/>
          <w:lang w:val="en-US"/>
        </w:rPr>
      </w:pPr>
      <m:oMath>
        <m:r>
          <w:rPr>
            <w:rFonts w:ascii="Cambria Math" w:hAnsi="Cambria Math"/>
            <w:sz w:val="28"/>
            <w:szCs w:val="28"/>
          </w:rPr>
          <m:t>λ</m:t>
        </m:r>
        <m:d>
          <m:dPr>
            <m:ctrlPr>
              <w:rPr>
                <w:rFonts w:ascii="Cambria Math" w:hAnsi="Cambria Math"/>
                <w:i/>
                <w:sz w:val="28"/>
                <w:szCs w:val="28"/>
              </w:rPr>
            </m:ctrlPr>
          </m:dPr>
          <m:e>
            <m:r>
              <w:rPr>
                <w:rFonts w:ascii="Cambria Math" w:hAnsi="Cambria Math"/>
                <w:sz w:val="28"/>
                <w:szCs w:val="28"/>
              </w:rPr>
              <m:t>t</m:t>
            </m:r>
          </m:e>
        </m:d>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0.5</m:t>
            </m:r>
          </m:num>
          <m:den>
            <m:r>
              <w:rPr>
                <w:rFonts w:ascii="Cambria Math" w:hAnsi="Cambria Math"/>
                <w:sz w:val="28"/>
                <w:szCs w:val="28"/>
              </w:rPr>
              <m:t>1000</m:t>
            </m:r>
          </m:den>
        </m:f>
        <m:r>
          <w:rPr>
            <w:rFonts w:ascii="Cambria Math" w:hAnsi="Cambria Math"/>
            <w:sz w:val="28"/>
            <w:szCs w:val="28"/>
          </w:rPr>
          <m:t>(</m:t>
        </m:r>
        <m:sSup>
          <m:sSupPr>
            <m:ctrlPr>
              <w:rPr>
                <w:rFonts w:ascii="Cambria Math" w:hAnsi="Cambria Math"/>
                <w:i/>
                <w:sz w:val="28"/>
                <w:szCs w:val="28"/>
              </w:rPr>
            </m:ctrlPr>
          </m:sSupPr>
          <m:e>
            <m:f>
              <m:fPr>
                <m:ctrlPr>
                  <w:rPr>
                    <w:rFonts w:ascii="Cambria Math" w:hAnsi="Cambria Math"/>
                    <w:i/>
                    <w:sz w:val="28"/>
                    <w:szCs w:val="28"/>
                  </w:rPr>
                </m:ctrlPr>
              </m:fPr>
              <m:num>
                <m:r>
                  <w:rPr>
                    <w:rFonts w:ascii="Cambria Math" w:hAnsi="Cambria Math"/>
                    <w:sz w:val="28"/>
                    <w:szCs w:val="28"/>
                  </w:rPr>
                  <m:t>t</m:t>
                </m:r>
              </m:num>
              <m:den>
                <m:r>
                  <w:rPr>
                    <w:rFonts w:ascii="Cambria Math" w:hAnsi="Cambria Math"/>
                    <w:sz w:val="28"/>
                    <w:szCs w:val="28"/>
                  </w:rPr>
                  <m:t>1000</m:t>
                </m:r>
              </m:den>
            </m:f>
            <m:r>
              <w:rPr>
                <w:rFonts w:ascii="Cambria Math" w:hAnsi="Cambria Math"/>
                <w:sz w:val="28"/>
                <w:szCs w:val="28"/>
              </w:rPr>
              <m:t>)</m:t>
            </m:r>
          </m:e>
          <m:sup>
            <m:r>
              <w:rPr>
                <w:rFonts w:ascii="Cambria Math" w:hAnsi="Cambria Math"/>
                <w:sz w:val="28"/>
                <w:szCs w:val="28"/>
              </w:rPr>
              <m:t>-0.5</m:t>
            </m:r>
          </m:sup>
        </m:sSup>
      </m:oMath>
      <w:r w:rsidR="00AB79F2">
        <w:rPr>
          <w:sz w:val="28"/>
          <w:szCs w:val="28"/>
        </w:rPr>
        <w:t xml:space="preserve"> </w:t>
      </w:r>
      <w:r w:rsidR="00C1725D">
        <w:rPr>
          <w:sz w:val="28"/>
          <w:szCs w:val="28"/>
          <w:lang w:val="en-US"/>
        </w:rPr>
        <w:t xml:space="preserve"> ,</w:t>
      </w:r>
    </w:p>
    <w:p w:rsidR="000E1CCC" w:rsidRDefault="00AB79F2" w:rsidP="00B67792">
      <w:pPr>
        <w:autoSpaceDE w:val="0"/>
        <w:autoSpaceDN w:val="0"/>
        <w:adjustRightInd w:val="0"/>
        <w:rPr>
          <w:sz w:val="28"/>
          <w:szCs w:val="28"/>
          <w:lang w:val="en-US"/>
        </w:rPr>
      </w:pPr>
      <w:r>
        <w:rPr>
          <w:sz w:val="28"/>
          <w:szCs w:val="28"/>
        </w:rPr>
        <w:t>където t е в години, което е</w:t>
      </w:r>
      <w:r w:rsidR="00DD2CBA">
        <w:rPr>
          <w:sz w:val="28"/>
          <w:szCs w:val="28"/>
        </w:rPr>
        <w:t xml:space="preserve"> спадащ темп на повреди</w:t>
      </w:r>
      <w:r>
        <w:rPr>
          <w:sz w:val="28"/>
          <w:szCs w:val="28"/>
        </w:rPr>
        <w:t xml:space="preserve"> </w:t>
      </w:r>
      <w:r>
        <w:rPr>
          <w:sz w:val="28"/>
          <w:szCs w:val="28"/>
          <w:lang w:val="en-US"/>
        </w:rPr>
        <w:t xml:space="preserve">(DFR, </w:t>
      </w:r>
      <w:r>
        <w:rPr>
          <w:sz w:val="28"/>
          <w:szCs w:val="28"/>
        </w:rPr>
        <w:t xml:space="preserve">от </w:t>
      </w:r>
      <w:r w:rsidRPr="00AB79F2">
        <w:rPr>
          <w:b/>
          <w:sz w:val="28"/>
          <w:szCs w:val="28"/>
          <w:lang w:val="en-US"/>
        </w:rPr>
        <w:t>D</w:t>
      </w:r>
      <w:r>
        <w:rPr>
          <w:sz w:val="28"/>
          <w:szCs w:val="28"/>
          <w:lang w:val="en-US"/>
        </w:rPr>
        <w:t>e</w:t>
      </w:r>
      <w:r w:rsidR="00DD2CBA">
        <w:rPr>
          <w:sz w:val="28"/>
          <w:szCs w:val="28"/>
          <w:lang w:val="en-US"/>
        </w:rPr>
        <w:t>creasing</w:t>
      </w:r>
      <w:r>
        <w:rPr>
          <w:sz w:val="28"/>
          <w:szCs w:val="28"/>
          <w:lang w:val="en-US"/>
        </w:rPr>
        <w:t xml:space="preserve"> </w:t>
      </w:r>
      <w:r>
        <w:rPr>
          <w:b/>
          <w:sz w:val="28"/>
          <w:szCs w:val="28"/>
          <w:lang w:val="en-US"/>
        </w:rPr>
        <w:t>F</w:t>
      </w:r>
      <w:r w:rsidR="00DD2CBA">
        <w:rPr>
          <w:sz w:val="28"/>
          <w:szCs w:val="28"/>
          <w:lang w:val="en-US"/>
        </w:rPr>
        <w:t>ailure</w:t>
      </w:r>
      <w:r>
        <w:rPr>
          <w:sz w:val="28"/>
          <w:szCs w:val="28"/>
          <w:lang w:val="en-US"/>
        </w:rPr>
        <w:t xml:space="preserve"> </w:t>
      </w:r>
      <w:r w:rsidRPr="00AB79F2">
        <w:rPr>
          <w:b/>
          <w:sz w:val="28"/>
          <w:szCs w:val="28"/>
          <w:lang w:val="en-US"/>
        </w:rPr>
        <w:t>R</w:t>
      </w:r>
      <w:r w:rsidR="00DD2CBA" w:rsidRPr="00DD2CBA">
        <w:rPr>
          <w:sz w:val="28"/>
          <w:szCs w:val="28"/>
          <w:lang w:val="en-US"/>
        </w:rPr>
        <w:t>ate</w:t>
      </w:r>
      <w:r>
        <w:rPr>
          <w:sz w:val="28"/>
          <w:szCs w:val="28"/>
          <w:lang w:val="en-US"/>
        </w:rPr>
        <w:t xml:space="preserve">). </w:t>
      </w:r>
      <w:r>
        <w:rPr>
          <w:sz w:val="28"/>
          <w:szCs w:val="28"/>
        </w:rPr>
        <w:t>Тогава за над</w:t>
      </w:r>
      <w:r w:rsidR="002F3E53">
        <w:rPr>
          <w:sz w:val="28"/>
          <w:szCs w:val="28"/>
        </w:rPr>
        <w:t xml:space="preserve">еждност от 0,90 (или 90%) </w:t>
      </w:r>
      <w:r w:rsidR="002F3E53">
        <w:rPr>
          <w:sz w:val="28"/>
          <w:szCs w:val="28"/>
        </w:rPr>
        <w:br/>
      </w:r>
      <m:oMath>
        <m:r>
          <w:rPr>
            <w:rFonts w:ascii="Cambria Math" w:hAnsi="Cambria Math"/>
            <w:sz w:val="28"/>
            <w:szCs w:val="28"/>
          </w:rPr>
          <m:t>R</m:t>
        </m:r>
        <m:d>
          <m:dPr>
            <m:ctrlPr>
              <w:rPr>
                <w:rFonts w:ascii="Cambria Math" w:hAnsi="Cambria Math"/>
                <w:i/>
                <w:sz w:val="28"/>
                <w:szCs w:val="28"/>
              </w:rPr>
            </m:ctrlPr>
          </m:dPr>
          <m:e>
            <m:r>
              <w:rPr>
                <w:rFonts w:ascii="Cambria Math" w:hAnsi="Cambria Math"/>
                <w:sz w:val="28"/>
                <w:szCs w:val="28"/>
              </w:rPr>
              <m:t>t</m:t>
            </m:r>
          </m:e>
        </m:d>
        <m:r>
          <w:rPr>
            <w:rFonts w:ascii="Cambria Math" w:hAnsi="Cambria Math"/>
            <w:sz w:val="28"/>
            <w:szCs w:val="28"/>
          </w:rPr>
          <m:t>=exp-(</m:t>
        </m:r>
        <m:sSup>
          <m:sSupPr>
            <m:ctrlPr>
              <w:rPr>
                <w:rFonts w:ascii="Cambria Math" w:hAnsi="Cambria Math" w:cs="Garamond"/>
                <w:lang w:val="en-US" w:eastAsia="en-US"/>
              </w:rPr>
            </m:ctrlPr>
          </m:sSupPr>
          <m:e>
            <m:f>
              <m:fPr>
                <m:ctrlPr>
                  <w:rPr>
                    <w:rFonts w:ascii="Cambria Math" w:hAnsi="Cambria Math" w:cs="Garamond"/>
                    <w:lang w:val="en-US" w:eastAsia="en-US"/>
                  </w:rPr>
                </m:ctrlPr>
              </m:fPr>
              <m:num>
                <m:r>
                  <m:rPr>
                    <m:sty m:val="p"/>
                  </m:rPr>
                  <w:rPr>
                    <w:rFonts w:ascii="Cambria Math" w:hAnsi="Cambria Math" w:cs="Garamond"/>
                    <w:lang w:val="en-US" w:eastAsia="en-US"/>
                  </w:rPr>
                  <m:t>t</m:t>
                </m:r>
              </m:num>
              <m:den>
                <m:r>
                  <m:rPr>
                    <m:sty m:val="p"/>
                  </m:rPr>
                  <w:rPr>
                    <w:rFonts w:ascii="Cambria Math" w:hAnsi="Cambria Math" w:cs="Garamond"/>
                    <w:lang w:val="en-US" w:eastAsia="en-US"/>
                  </w:rPr>
                  <m:t>1000</m:t>
                </m:r>
              </m:den>
            </m:f>
            <m:r>
              <m:rPr>
                <m:sty m:val="p"/>
              </m:rPr>
              <w:rPr>
                <w:rFonts w:ascii="Cambria Math" w:hAnsi="Cambria Math" w:cs="Garamond"/>
                <w:lang w:val="en-US" w:eastAsia="en-US"/>
              </w:rPr>
              <m:t>)</m:t>
            </m:r>
          </m:e>
          <m:sup>
            <m:r>
              <m:rPr>
                <m:sty m:val="p"/>
              </m:rPr>
              <w:rPr>
                <w:rFonts w:ascii="Cambria Math" w:hAnsi="Cambria Math" w:cs="Garamond"/>
                <w:lang w:val="en-US" w:eastAsia="en-US"/>
              </w:rPr>
              <m:t>-</m:t>
            </m:r>
            <m:f>
              <m:fPr>
                <m:ctrlPr>
                  <w:rPr>
                    <w:rFonts w:ascii="Cambria Math" w:hAnsi="Cambria Math" w:cs="Garamond"/>
                    <w:lang w:val="en-US" w:eastAsia="en-US"/>
                  </w:rPr>
                </m:ctrlPr>
              </m:fPr>
              <m:num>
                <m:r>
                  <m:rPr>
                    <m:sty m:val="p"/>
                  </m:rPr>
                  <w:rPr>
                    <w:rFonts w:ascii="Cambria Math" w:hAnsi="Cambria Math" w:cs="Garamond"/>
                    <w:lang w:val="en-US" w:eastAsia="en-US"/>
                  </w:rPr>
                  <m:t>1</m:t>
                </m:r>
              </m:num>
              <m:den>
                <m:r>
                  <m:rPr>
                    <m:sty m:val="p"/>
                  </m:rPr>
                  <w:rPr>
                    <w:rFonts w:ascii="Cambria Math" w:hAnsi="Cambria Math" w:cs="Garamond"/>
                    <w:lang w:val="en-US" w:eastAsia="en-US"/>
                  </w:rPr>
                  <m:t>2</m:t>
                </m:r>
              </m:den>
            </m:f>
          </m:sup>
        </m:sSup>
        <m:r>
          <m:rPr>
            <m:sty m:val="p"/>
          </m:rPr>
          <w:rPr>
            <w:rFonts w:ascii="Cambria Math" w:hAnsi="Cambria Math" w:cs="Garamond"/>
            <w:lang w:val="en-US" w:eastAsia="en-US"/>
          </w:rPr>
          <m:t>=0.90</m:t>
        </m:r>
      </m:oMath>
      <w:r>
        <w:rPr>
          <w:sz w:val="28"/>
          <w:szCs w:val="28"/>
        </w:rPr>
        <w:t xml:space="preserve"> , а проектираният живот </w:t>
      </w:r>
      <w:r w:rsidR="00BF2421">
        <w:rPr>
          <w:sz w:val="28"/>
          <w:szCs w:val="28"/>
        </w:rPr>
        <w:t xml:space="preserve">(жизнен цикъл) се взима от </w:t>
      </w:r>
      <w:r w:rsidR="00BF2421">
        <w:rPr>
          <w:sz w:val="28"/>
          <w:szCs w:val="28"/>
          <w:lang w:val="en-US"/>
        </w:rPr>
        <w:t xml:space="preserve"> </w:t>
      </w:r>
      <m:oMath>
        <m:r>
          <w:rPr>
            <w:rFonts w:ascii="Cambria Math" w:hAnsi="Cambria Math"/>
            <w:sz w:val="28"/>
            <w:szCs w:val="28"/>
            <w:lang w:val="en-US"/>
          </w:rPr>
          <m:t>t=1000(-ln</m:t>
        </m:r>
        <m:sSup>
          <m:sSupPr>
            <m:ctrlPr>
              <w:rPr>
                <w:rFonts w:ascii="Cambria Math" w:hAnsi="Cambria Math"/>
                <w:i/>
                <w:sz w:val="28"/>
                <w:szCs w:val="28"/>
                <w:lang w:val="en-US"/>
              </w:rPr>
            </m:ctrlPr>
          </m:sSupPr>
          <m:e>
            <m:r>
              <w:rPr>
                <w:rFonts w:ascii="Cambria Math" w:hAnsi="Cambria Math"/>
                <w:sz w:val="28"/>
                <w:szCs w:val="28"/>
                <w:lang w:val="en-US"/>
              </w:rPr>
              <m:t>0.90)</m:t>
            </m:r>
          </m:e>
          <m:sup>
            <m:r>
              <w:rPr>
                <w:rFonts w:ascii="Cambria Math" w:hAnsi="Cambria Math"/>
                <w:sz w:val="28"/>
                <w:szCs w:val="28"/>
                <w:lang w:val="en-US"/>
              </w:rPr>
              <m:t>2</m:t>
            </m:r>
          </m:sup>
        </m:sSup>
        <m:r>
          <w:rPr>
            <w:rFonts w:ascii="Cambria Math" w:hAnsi="Cambria Math"/>
            <w:sz w:val="28"/>
            <w:szCs w:val="28"/>
            <w:lang w:val="en-US"/>
          </w:rPr>
          <m:t>=11.1yr</m:t>
        </m:r>
      </m:oMath>
      <w:r>
        <w:rPr>
          <w:sz w:val="28"/>
          <w:szCs w:val="28"/>
        </w:rPr>
        <w:br/>
        <w:t>Ако вземем То=0.5 и шест месечен бърнинг период</w:t>
      </w:r>
      <w:r w:rsidR="00DD60CD">
        <w:rPr>
          <w:sz w:val="28"/>
          <w:szCs w:val="28"/>
        </w:rPr>
        <w:t>, тогава</w:t>
      </w:r>
    </w:p>
    <w:p w:rsidR="009E2215" w:rsidRDefault="00DD60CD" w:rsidP="009E2215">
      <w:pPr>
        <w:autoSpaceDE w:val="0"/>
        <w:autoSpaceDN w:val="0"/>
        <w:adjustRightInd w:val="0"/>
        <w:ind w:left="708" w:firstLine="708"/>
        <w:rPr>
          <w:sz w:val="28"/>
          <w:szCs w:val="28"/>
          <w:lang w:val="en-US"/>
        </w:rPr>
      </w:pPr>
      <w:r>
        <w:rPr>
          <w:sz w:val="28"/>
          <w:szCs w:val="28"/>
        </w:rPr>
        <w:t xml:space="preserve"> </w:t>
      </w:r>
      <m:oMath>
        <m:r>
          <w:rPr>
            <w:rFonts w:ascii="Cambria Math" w:hAnsi="Cambria Math"/>
            <w:sz w:val="28"/>
            <w:szCs w:val="28"/>
          </w:rPr>
          <m:t>R</m:t>
        </m:r>
        <m:d>
          <m:dPr>
            <m:ctrlPr>
              <w:rPr>
                <w:rFonts w:ascii="Cambria Math" w:hAnsi="Cambria Math"/>
                <w:i/>
                <w:sz w:val="28"/>
                <w:szCs w:val="28"/>
              </w:rPr>
            </m:ctrlPr>
          </m:dPr>
          <m:e>
            <m:r>
              <w:rPr>
                <w:rFonts w:ascii="Cambria Math" w:hAnsi="Cambria Math"/>
                <w:sz w:val="28"/>
                <w:szCs w:val="28"/>
              </w:rPr>
              <m:t>t</m:t>
            </m:r>
          </m:e>
          <m:e>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0</m:t>
                </m:r>
              </m:sub>
            </m:sSub>
          </m:e>
        </m:d>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R(t+0.5)</m:t>
            </m:r>
          </m:num>
          <m:den>
            <m:r>
              <w:rPr>
                <w:rFonts w:ascii="Cambria Math" w:hAnsi="Cambria Math"/>
                <w:sz w:val="28"/>
                <w:szCs w:val="28"/>
              </w:rPr>
              <m:t>R(0.5)</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exp-[</m:t>
            </m:r>
            <m:sSup>
              <m:sSupPr>
                <m:ctrlPr>
                  <w:rPr>
                    <w:rFonts w:ascii="Cambria Math" w:hAnsi="Cambria Math"/>
                    <w:i/>
                    <w:sz w:val="28"/>
                    <w:szCs w:val="28"/>
                  </w:rPr>
                </m:ctrlPr>
              </m:sSupPr>
              <m:e>
                <m:r>
                  <w:rPr>
                    <w:rFonts w:ascii="Cambria Math" w:hAnsi="Cambria Math"/>
                    <w:sz w:val="28"/>
                    <w:szCs w:val="28"/>
                  </w:rPr>
                  <m:t>(t+0.5)/1000]</m:t>
                </m:r>
              </m:e>
              <m:sup>
                <m:r>
                  <w:rPr>
                    <w:rFonts w:ascii="Cambria Math" w:hAnsi="Cambria Math"/>
                    <w:sz w:val="28"/>
                    <w:szCs w:val="28"/>
                  </w:rPr>
                  <m:t>0.5</m:t>
                </m:r>
              </m:sup>
            </m:sSup>
          </m:num>
          <m:den>
            <m:r>
              <w:rPr>
                <w:rFonts w:ascii="Cambria Math" w:hAnsi="Cambria Math"/>
                <w:sz w:val="28"/>
                <w:szCs w:val="28"/>
              </w:rPr>
              <m:t>exp-[</m:t>
            </m:r>
            <m:sSup>
              <m:sSupPr>
                <m:ctrlPr>
                  <w:rPr>
                    <w:rFonts w:ascii="Cambria Math" w:hAnsi="Cambria Math"/>
                    <w:i/>
                    <w:sz w:val="28"/>
                    <w:szCs w:val="28"/>
                  </w:rPr>
                </m:ctrlPr>
              </m:sSupPr>
              <m:e>
                <m:r>
                  <w:rPr>
                    <w:rFonts w:ascii="Cambria Math" w:hAnsi="Cambria Math"/>
                    <w:sz w:val="28"/>
                    <w:szCs w:val="28"/>
                  </w:rPr>
                  <m:t>(t+0.5)/1000]</m:t>
                </m:r>
              </m:e>
              <m:sup>
                <m:r>
                  <w:rPr>
                    <w:rFonts w:ascii="Cambria Math" w:hAnsi="Cambria Math"/>
                    <w:sz w:val="28"/>
                    <w:szCs w:val="28"/>
                  </w:rPr>
                  <m:t>0.5</m:t>
                </m:r>
              </m:sup>
            </m:sSup>
          </m:den>
        </m:f>
        <m:r>
          <w:rPr>
            <w:rFonts w:ascii="Cambria Math" w:hAnsi="Cambria Math"/>
            <w:sz w:val="28"/>
            <w:szCs w:val="28"/>
          </w:rPr>
          <m:t>=0.90</m:t>
        </m:r>
      </m:oMath>
    </w:p>
    <w:p w:rsidR="009E2215" w:rsidRDefault="00D92C65" w:rsidP="00B67792">
      <w:pPr>
        <w:autoSpaceDE w:val="0"/>
        <w:autoSpaceDN w:val="0"/>
        <w:adjustRightInd w:val="0"/>
        <w:rPr>
          <w:sz w:val="28"/>
          <w:szCs w:val="28"/>
          <w:lang w:val="en-US"/>
        </w:rPr>
      </w:pPr>
      <w:r>
        <w:rPr>
          <w:sz w:val="28"/>
          <w:szCs w:val="28"/>
        </w:rPr>
        <w:br/>
        <w:t xml:space="preserve">  </w:t>
      </w:r>
      <w:r w:rsidR="009E2215">
        <w:rPr>
          <w:sz w:val="28"/>
          <w:szCs w:val="28"/>
        </w:rPr>
        <w:t xml:space="preserve">и </w:t>
      </w:r>
    </w:p>
    <w:p w:rsidR="009E2215" w:rsidRPr="009E2215" w:rsidRDefault="009E2215" w:rsidP="00B67792">
      <w:pPr>
        <w:autoSpaceDE w:val="0"/>
        <w:autoSpaceDN w:val="0"/>
        <w:adjustRightInd w:val="0"/>
        <w:rPr>
          <w:sz w:val="28"/>
          <w:szCs w:val="28"/>
          <w:lang w:val="en-US"/>
        </w:rPr>
      </w:pPr>
      <m:oMathPara>
        <m:oMath>
          <m:r>
            <w:rPr>
              <w:rFonts w:ascii="Cambria Math" w:hAnsi="Cambria Math"/>
              <w:sz w:val="28"/>
              <w:szCs w:val="28"/>
            </w:rPr>
            <m:t>t=1000[-ln0.90+</m:t>
          </m:r>
          <m:d>
            <m:dPr>
              <m:endChr m:val="]"/>
              <m:ctrlPr>
                <w:rPr>
                  <w:rFonts w:ascii="Cambria Math" w:hAnsi="Cambria Math"/>
                  <w:i/>
                  <w:sz w:val="28"/>
                  <w:szCs w:val="28"/>
                </w:rPr>
              </m:ctrlPr>
            </m:dPr>
            <m:e>
              <m:sSup>
                <m:sSupPr>
                  <m:ctrlPr>
                    <w:rPr>
                      <w:rFonts w:ascii="Cambria Math" w:hAnsi="Cambria Math"/>
                      <w:i/>
                      <w:sz w:val="28"/>
                      <w:szCs w:val="28"/>
                    </w:rPr>
                  </m:ctrlPr>
                </m:sSupPr>
                <m:e>
                  <m:f>
                    <m:fPr>
                      <m:ctrlPr>
                        <w:rPr>
                          <w:rFonts w:ascii="Cambria Math" w:hAnsi="Cambria Math"/>
                          <w:i/>
                          <w:sz w:val="28"/>
                          <w:szCs w:val="28"/>
                        </w:rPr>
                      </m:ctrlPr>
                    </m:fPr>
                    <m:num>
                      <m:r>
                        <w:rPr>
                          <w:rFonts w:ascii="Cambria Math" w:hAnsi="Cambria Math"/>
                          <w:sz w:val="28"/>
                          <w:szCs w:val="28"/>
                        </w:rPr>
                        <m:t>0.5</m:t>
                      </m:r>
                    </m:num>
                    <m:den>
                      <m:r>
                        <w:rPr>
                          <w:rFonts w:ascii="Cambria Math" w:hAnsi="Cambria Math"/>
                          <w:sz w:val="28"/>
                          <w:szCs w:val="28"/>
                        </w:rPr>
                        <m:t>1000</m:t>
                      </m:r>
                    </m:den>
                  </m:f>
                  <m:r>
                    <w:rPr>
                      <w:rFonts w:ascii="Cambria Math" w:hAnsi="Cambria Math"/>
                      <w:sz w:val="28"/>
                      <w:szCs w:val="28"/>
                    </w:rPr>
                    <m:t>)</m:t>
                  </m:r>
                </m:e>
                <m:sup>
                  <m:r>
                    <w:rPr>
                      <w:rFonts w:ascii="Cambria Math" w:hAnsi="Cambria Math"/>
                      <w:sz w:val="28"/>
                      <w:szCs w:val="28"/>
                    </w:rPr>
                    <m:t>0.5</m:t>
                  </m:r>
                </m:sup>
              </m:sSup>
            </m:e>
          </m:d>
          <m:sSup>
            <m:sSupPr>
              <m:ctrlPr>
                <w:rPr>
                  <w:rFonts w:ascii="Cambria Math" w:hAnsi="Cambria Math"/>
                  <w:i/>
                  <w:sz w:val="28"/>
                  <w:szCs w:val="28"/>
                </w:rPr>
              </m:ctrlPr>
            </m:sSupPr>
            <m:e>
              <m:r>
                <w:rPr>
                  <w:rFonts w:ascii="Cambria Math" w:hAnsi="Cambria Math"/>
                  <w:sz w:val="28"/>
                  <w:szCs w:val="28"/>
                </w:rPr>
                <m:t>1</m:t>
              </m:r>
            </m:e>
            <m:sup>
              <m:r>
                <w:rPr>
                  <w:rFonts w:ascii="Cambria Math" w:hAnsi="Cambria Math"/>
                  <w:sz w:val="28"/>
                  <w:szCs w:val="28"/>
                </w:rPr>
                <m:t>2</m:t>
              </m:r>
            </m:sup>
          </m:sSup>
          <m:r>
            <w:rPr>
              <w:rFonts w:ascii="Cambria Math" w:hAnsi="Cambria Math"/>
              <w:sz w:val="28"/>
              <w:szCs w:val="28"/>
            </w:rPr>
            <m:t>-0.5=15.8yr</m:t>
          </m:r>
        </m:oMath>
      </m:oMathPara>
    </w:p>
    <w:p w:rsidR="00C72392" w:rsidRPr="009E2215" w:rsidRDefault="00D92C65" w:rsidP="00B67792">
      <w:pPr>
        <w:autoSpaceDE w:val="0"/>
        <w:autoSpaceDN w:val="0"/>
        <w:adjustRightInd w:val="0"/>
        <w:rPr>
          <w:sz w:val="28"/>
          <w:szCs w:val="28"/>
          <w:lang w:val="en-US"/>
        </w:rPr>
      </w:pPr>
      <w:r>
        <w:rPr>
          <w:sz w:val="28"/>
          <w:szCs w:val="28"/>
        </w:rPr>
        <w:t xml:space="preserve">  Това е увеличение с повече от 4 години на проектирания живот (експлоатационен период) в резултат на 6 месечен бърнинг период. Това подобрение на надеждността от бърнинг периода То ще се реализира само за </w:t>
      </w:r>
      <w:r w:rsidR="00C72392">
        <w:rPr>
          <w:sz w:val="28"/>
          <w:szCs w:val="28"/>
        </w:rPr>
        <w:t xml:space="preserve">проект за надеждност </w:t>
      </w:r>
      <w:r w:rsidR="00C72392">
        <w:rPr>
          <w:sz w:val="28"/>
          <w:szCs w:val="28"/>
          <w:lang w:val="en-US"/>
        </w:rPr>
        <w:t xml:space="preserve">(DFR) </w:t>
      </w:r>
      <w:r w:rsidR="00C72392">
        <w:rPr>
          <w:sz w:val="28"/>
          <w:szCs w:val="28"/>
        </w:rPr>
        <w:t>като показания в следния пример, както е показано в апендикс 2С</w:t>
      </w:r>
    </w:p>
    <w:p w:rsidR="004420A1" w:rsidRDefault="00DE4A7B" w:rsidP="004F5175">
      <w:pPr>
        <w:rPr>
          <w:sz w:val="28"/>
          <w:szCs w:val="28"/>
          <w:lang w:val="en-US"/>
        </w:rPr>
      </w:pPr>
      <w:r>
        <w:rPr>
          <w:sz w:val="28"/>
          <w:szCs w:val="28"/>
        </w:rPr>
        <w:tab/>
        <w:t>Нека</w:t>
      </w:r>
      <w:r>
        <w:rPr>
          <w:sz w:val="28"/>
          <w:szCs w:val="28"/>
          <w:lang w:val="en-US"/>
        </w:rPr>
        <w:t xml:space="preserve"> λ(t)=</w:t>
      </w:r>
      <w:r w:rsidRPr="00DE4A7B">
        <w:rPr>
          <w:sz w:val="28"/>
          <w:szCs w:val="28"/>
          <w:lang w:val="en-US"/>
        </w:rPr>
        <w:t xml:space="preserve"> </w:t>
      </w:r>
      <w:r>
        <w:rPr>
          <w:sz w:val="28"/>
          <w:szCs w:val="28"/>
          <w:lang w:val="en-US"/>
        </w:rPr>
        <w:t xml:space="preserve">λt </w:t>
      </w:r>
      <w:r w:rsidR="00C72392">
        <w:rPr>
          <w:sz w:val="28"/>
          <w:szCs w:val="28"/>
        </w:rPr>
        <w:t xml:space="preserve">, (което е) нарастващ темп на повреди </w:t>
      </w:r>
      <w:r w:rsidR="00DD2CBA">
        <w:rPr>
          <w:sz w:val="28"/>
          <w:szCs w:val="28"/>
          <w:lang w:val="en-US"/>
        </w:rPr>
        <w:t>(</w:t>
      </w:r>
      <w:r w:rsidR="00DD2CBA" w:rsidRPr="00DD2CBA">
        <w:rPr>
          <w:b/>
          <w:sz w:val="28"/>
          <w:szCs w:val="28"/>
          <w:lang w:val="en-US"/>
        </w:rPr>
        <w:t>IFR</w:t>
      </w:r>
      <w:r w:rsidR="00DD2CBA">
        <w:rPr>
          <w:b/>
          <w:sz w:val="28"/>
          <w:szCs w:val="28"/>
          <w:lang w:val="en-US"/>
        </w:rPr>
        <w:t xml:space="preserve"> – </w:t>
      </w:r>
      <w:r w:rsidR="00DD2CBA" w:rsidRPr="00DD2CBA">
        <w:rPr>
          <w:sz w:val="28"/>
          <w:szCs w:val="28"/>
          <w:lang w:val="en-US"/>
        </w:rPr>
        <w:t>I</w:t>
      </w:r>
      <w:r w:rsidR="00DD2CBA">
        <w:rPr>
          <w:sz w:val="28"/>
          <w:szCs w:val="28"/>
          <w:lang w:val="en-US"/>
        </w:rPr>
        <w:t xml:space="preserve">ncreasing Failure Rate) </w:t>
      </w:r>
      <w:r w:rsidR="00C72392" w:rsidRPr="00DD2CBA">
        <w:rPr>
          <w:sz w:val="28"/>
          <w:szCs w:val="28"/>
        </w:rPr>
        <w:t>за</w:t>
      </w:r>
      <w:r w:rsidR="00D7324A">
        <w:rPr>
          <w:sz w:val="28"/>
          <w:szCs w:val="28"/>
        </w:rPr>
        <w:t xml:space="preserve"> </w:t>
      </w:r>
      <w:r w:rsidR="00D7324A">
        <w:rPr>
          <w:sz w:val="28"/>
          <w:szCs w:val="28"/>
          <w:lang w:val="en-US"/>
        </w:rPr>
        <w:t>λ</w:t>
      </w:r>
      <w:r w:rsidR="005C1820">
        <w:rPr>
          <w:sz w:val="28"/>
          <w:szCs w:val="28"/>
        </w:rPr>
        <w:t>&gt;0. Тогава</w:t>
      </w:r>
      <w:r w:rsidR="005C1820">
        <w:rPr>
          <w:sz w:val="28"/>
          <w:szCs w:val="28"/>
        </w:rPr>
        <w:br/>
      </w:r>
      <m:oMathPara>
        <m:oMath>
          <m:r>
            <w:rPr>
              <w:rFonts w:ascii="Cambria Math" w:hAnsi="Cambria Math"/>
              <w:sz w:val="28"/>
              <w:szCs w:val="28"/>
            </w:rPr>
            <m:t>R</m:t>
          </m:r>
          <m:d>
            <m:dPr>
              <m:ctrlPr>
                <w:rPr>
                  <w:rFonts w:ascii="Cambria Math" w:hAnsi="Cambria Math"/>
                  <w:i/>
                  <w:sz w:val="28"/>
                  <w:szCs w:val="28"/>
                </w:rPr>
              </m:ctrlPr>
            </m:dPr>
            <m:e>
              <m:r>
                <w:rPr>
                  <w:rFonts w:ascii="Cambria Math" w:hAnsi="Cambria Math"/>
                  <w:sz w:val="28"/>
                  <w:szCs w:val="28"/>
                </w:rPr>
                <m:t>t</m:t>
              </m:r>
            </m:e>
          </m:d>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e</m:t>
              </m:r>
            </m:e>
            <m:sup>
              <m:sSup>
                <m:sSupPr>
                  <m:ctrlPr>
                    <w:rPr>
                      <w:rFonts w:ascii="Cambria Math" w:hAnsi="Cambria Math"/>
                      <w:i/>
                      <w:sz w:val="28"/>
                      <w:szCs w:val="28"/>
                    </w:rPr>
                  </m:ctrlPr>
                </m:sSupPr>
                <m:e>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2</m:t>
                      </m:r>
                    </m:den>
                  </m:f>
                  <m:r>
                    <w:rPr>
                      <w:rFonts w:ascii="Cambria Math" w:hAnsi="Cambria Math"/>
                      <w:sz w:val="28"/>
                      <w:szCs w:val="28"/>
                    </w:rPr>
                    <m:t>)λr</m:t>
                  </m:r>
                </m:e>
                <m:sup>
                  <m:eqArr>
                    <m:eqArrPr>
                      <m:ctrlPr>
                        <w:rPr>
                          <w:rFonts w:ascii="Cambria Math" w:hAnsi="Cambria Math"/>
                          <w:i/>
                          <w:sz w:val="28"/>
                          <w:szCs w:val="28"/>
                        </w:rPr>
                      </m:ctrlPr>
                    </m:eqArrPr>
                    <m:e>
                      <m:r>
                        <w:rPr>
                          <w:rFonts w:ascii="Cambria Math" w:hAnsi="Cambria Math"/>
                          <w:sz w:val="28"/>
                          <w:szCs w:val="28"/>
                        </w:rPr>
                        <m:t>2</m:t>
                      </m:r>
                    </m:e>
                    <m:e/>
                  </m:eqArr>
                </m:sup>
              </m:sSup>
            </m:sup>
          </m:sSup>
        </m:oMath>
      </m:oMathPara>
    </w:p>
    <w:p w:rsidR="004420A1" w:rsidRPr="004420A1" w:rsidRDefault="004420A1" w:rsidP="004F5175">
      <w:pPr>
        <w:rPr>
          <w:sz w:val="28"/>
          <w:szCs w:val="28"/>
          <w:lang w:val="en-US"/>
        </w:rPr>
      </w:pPr>
      <m:oMathPara>
        <m:oMath>
          <m:r>
            <w:rPr>
              <w:rFonts w:ascii="Cambria Math" w:hAnsi="Cambria Math"/>
              <w:sz w:val="28"/>
              <w:szCs w:val="28"/>
            </w:rPr>
            <m:t>R</m:t>
          </m:r>
          <m:d>
            <m:dPr>
              <m:ctrlPr>
                <w:rPr>
                  <w:rFonts w:ascii="Cambria Math" w:hAnsi="Cambria Math"/>
                  <w:i/>
                  <w:sz w:val="28"/>
                  <w:szCs w:val="28"/>
                </w:rPr>
              </m:ctrlPr>
            </m:dPr>
            <m:e>
              <m:r>
                <w:rPr>
                  <w:rFonts w:ascii="Cambria Math" w:hAnsi="Cambria Math"/>
                  <w:sz w:val="28"/>
                  <w:szCs w:val="28"/>
                </w:rPr>
                <m:t>t</m:t>
              </m:r>
            </m:e>
            <m:e>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0</m:t>
                  </m:r>
                </m:sub>
              </m:sSub>
            </m:e>
          </m:d>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e</m:t>
              </m:r>
              <m:sSup>
                <m:sSupPr>
                  <m:ctrlPr>
                    <w:rPr>
                      <w:rFonts w:ascii="Cambria Math" w:hAnsi="Cambria Math"/>
                      <w:i/>
                      <w:sz w:val="28"/>
                      <w:szCs w:val="28"/>
                    </w:rPr>
                  </m:ctrlPr>
                </m:sSupPr>
                <m:e>
                  <m:r>
                    <w:rPr>
                      <w:rFonts w:ascii="Cambria Math" w:hAnsi="Cambria Math"/>
                      <w:sz w:val="28"/>
                      <w:szCs w:val="28"/>
                    </w:rPr>
                    <m:t>-</m:t>
                  </m:r>
                  <m:d>
                    <m:dPr>
                      <m:ctrlPr>
                        <w:rPr>
                          <w:rFonts w:ascii="Cambria Math" w:hAnsi="Cambria Math"/>
                          <w:i/>
                          <w:sz w:val="28"/>
                          <w:szCs w:val="28"/>
                        </w:rPr>
                      </m:ctrlPr>
                    </m:dPr>
                    <m:e>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2</m:t>
                          </m:r>
                        </m:den>
                      </m:f>
                    </m:e>
                  </m:d>
                  <m:r>
                    <w:rPr>
                      <w:rFonts w:ascii="Cambria Math" w:hAnsi="Cambria Math"/>
                      <w:sz w:val="28"/>
                      <w:szCs w:val="28"/>
                    </w:rPr>
                    <m:t>λ</m:t>
                  </m:r>
                  <m:d>
                    <m:dPr>
                      <m:ctrlPr>
                        <w:rPr>
                          <w:rFonts w:ascii="Cambria Math" w:hAnsi="Cambria Math"/>
                          <w:i/>
                          <w:sz w:val="28"/>
                          <w:szCs w:val="28"/>
                        </w:rPr>
                      </m:ctrlPr>
                    </m:dPr>
                    <m:e>
                      <m:r>
                        <w:rPr>
                          <w:rFonts w:ascii="Cambria Math" w:hAnsi="Cambria Math"/>
                          <w:sz w:val="28"/>
                          <w:szCs w:val="28"/>
                        </w:rPr>
                        <m:t>t+To</m:t>
                      </m:r>
                    </m:e>
                  </m:d>
                </m:e>
                <m:sup>
                  <m:r>
                    <w:rPr>
                      <w:rFonts w:ascii="Cambria Math" w:hAnsi="Cambria Math"/>
                      <w:sz w:val="28"/>
                      <w:szCs w:val="28"/>
                    </w:rPr>
                    <m:t>2</m:t>
                  </m:r>
                </m:sup>
              </m:sSup>
            </m:num>
            <m:den>
              <m:sSup>
                <m:sSupPr>
                  <m:ctrlPr>
                    <w:rPr>
                      <w:rFonts w:ascii="Cambria Math" w:hAnsi="Cambria Math"/>
                      <w:i/>
                      <w:sz w:val="28"/>
                      <w:szCs w:val="28"/>
                    </w:rPr>
                  </m:ctrlPr>
                </m:sSupPr>
                <m:e>
                  <m:r>
                    <w:rPr>
                      <w:rFonts w:ascii="Cambria Math" w:hAnsi="Cambria Math"/>
                      <w:sz w:val="28"/>
                      <w:szCs w:val="28"/>
                    </w:rPr>
                    <m:t>e</m:t>
                  </m:r>
                </m:e>
                <m:sup>
                  <m:sSup>
                    <m:sSupPr>
                      <m:ctrlPr>
                        <w:rPr>
                          <w:rFonts w:ascii="Cambria Math" w:hAnsi="Cambria Math"/>
                          <w:i/>
                          <w:sz w:val="28"/>
                          <w:szCs w:val="28"/>
                        </w:rPr>
                      </m:ctrlPr>
                    </m:sSupPr>
                    <m:e>
                      <m:r>
                        <w:rPr>
                          <w:rFonts w:ascii="Cambria Math" w:hAnsi="Cambria Math"/>
                          <w:sz w:val="28"/>
                          <w:szCs w:val="28"/>
                        </w:rPr>
                        <m:t>-</m:t>
                      </m:r>
                      <m:d>
                        <m:dPr>
                          <m:ctrlPr>
                            <w:rPr>
                              <w:rFonts w:ascii="Cambria Math" w:hAnsi="Cambria Math"/>
                              <w:i/>
                              <w:sz w:val="28"/>
                              <w:szCs w:val="28"/>
                            </w:rPr>
                          </m:ctrlPr>
                        </m:dPr>
                        <m:e>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2</m:t>
                              </m:r>
                            </m:den>
                          </m:f>
                        </m:e>
                      </m:d>
                      <m:r>
                        <w:rPr>
                          <w:rFonts w:ascii="Cambria Math" w:hAnsi="Cambria Math"/>
                          <w:sz w:val="28"/>
                          <w:szCs w:val="28"/>
                        </w:rPr>
                        <m:t>λTo</m:t>
                      </m:r>
                    </m:e>
                    <m:sup>
                      <m:r>
                        <w:rPr>
                          <w:rFonts w:ascii="Cambria Math" w:hAnsi="Cambria Math"/>
                          <w:sz w:val="28"/>
                          <w:szCs w:val="28"/>
                        </w:rPr>
                        <m:t>2</m:t>
                      </m:r>
                    </m:sup>
                  </m:sSup>
                </m:sup>
              </m:sSup>
            </m:den>
          </m:f>
        </m:oMath>
      </m:oMathPara>
    </w:p>
    <w:p w:rsidR="004420A1" w:rsidRDefault="00C72392" w:rsidP="004420A1">
      <w:pPr>
        <w:rPr>
          <w:sz w:val="28"/>
          <w:szCs w:val="28"/>
          <w:lang w:val="en-US"/>
        </w:rPr>
      </w:pPr>
      <w:r>
        <w:rPr>
          <w:sz w:val="28"/>
          <w:szCs w:val="28"/>
        </w:rPr>
        <w:br/>
        <w:t>Кое</w:t>
      </w:r>
      <w:r w:rsidR="005C1820">
        <w:rPr>
          <w:sz w:val="28"/>
          <w:szCs w:val="28"/>
        </w:rPr>
        <w:t>то може да се опрости до:</w:t>
      </w:r>
    </w:p>
    <w:p w:rsidR="00C72392" w:rsidRPr="004420A1" w:rsidRDefault="00D57436" w:rsidP="004420A1">
      <w:pPr>
        <w:rPr>
          <w:sz w:val="28"/>
          <w:szCs w:val="28"/>
          <w:lang w:val="en-US"/>
        </w:rPr>
      </w:pPr>
      <w:r>
        <w:rPr>
          <w:noProof/>
          <w:sz w:val="28"/>
          <w:szCs w:val="28"/>
          <w:lang w:val="en-US" w:eastAsia="en-US"/>
        </w:rPr>
        <w:lastRenderedPageBreak/>
        <w:drawing>
          <wp:inline distT="0" distB="0" distL="0" distR="0">
            <wp:extent cx="2867025" cy="4667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2867025" cy="466725"/>
                    </a:xfrm>
                    <a:prstGeom prst="rect">
                      <a:avLst/>
                    </a:prstGeom>
                    <a:noFill/>
                    <a:ln w="9525">
                      <a:noFill/>
                      <a:miter lim="800000"/>
                      <a:headEnd/>
                      <a:tailEnd/>
                    </a:ln>
                  </pic:spPr>
                </pic:pic>
              </a:graphicData>
            </a:graphic>
          </wp:inline>
        </w:drawing>
      </w:r>
      <w:r w:rsidR="005C1820">
        <w:rPr>
          <w:sz w:val="28"/>
          <w:szCs w:val="28"/>
        </w:rPr>
        <w:br/>
      </w:r>
      <w:r w:rsidR="00B55E72">
        <w:rPr>
          <w:sz w:val="28"/>
          <w:szCs w:val="28"/>
        </w:rPr>
        <w:br/>
        <w:t>Тъй като</w:t>
      </w:r>
      <w:r w:rsidR="00B55E72">
        <w:rPr>
          <w:sz w:val="28"/>
          <w:szCs w:val="28"/>
          <w:lang w:val="en-US"/>
        </w:rPr>
        <w:t xml:space="preserve"> </w:t>
      </w:r>
      <w:r w:rsidR="00B55E72">
        <w:rPr>
          <w:noProof/>
          <w:sz w:val="28"/>
          <w:szCs w:val="28"/>
          <w:lang w:val="en-US" w:eastAsia="en-US"/>
        </w:rPr>
        <w:drawing>
          <wp:inline distT="0" distB="0" distL="0" distR="0">
            <wp:extent cx="1209675" cy="419100"/>
            <wp:effectExtent l="19050" t="0" r="9525"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1209675" cy="419100"/>
                    </a:xfrm>
                    <a:prstGeom prst="rect">
                      <a:avLst/>
                    </a:prstGeom>
                    <a:noFill/>
                    <a:ln w="9525">
                      <a:noFill/>
                      <a:miter lim="800000"/>
                      <a:headEnd/>
                      <a:tailEnd/>
                    </a:ln>
                  </pic:spPr>
                </pic:pic>
              </a:graphicData>
            </a:graphic>
          </wp:inline>
        </w:drawing>
      </w:r>
      <w:r w:rsidR="00C72392">
        <w:rPr>
          <w:sz w:val="28"/>
          <w:szCs w:val="28"/>
          <w:lang w:val="en-US"/>
        </w:rPr>
        <w:t xml:space="preserve"> </w:t>
      </w:r>
      <w:r w:rsidR="00C72392">
        <w:rPr>
          <w:sz w:val="28"/>
          <w:szCs w:val="28"/>
        </w:rPr>
        <w:t>з</w:t>
      </w:r>
      <w:r w:rsidR="00B55E72">
        <w:rPr>
          <w:sz w:val="28"/>
          <w:szCs w:val="28"/>
        </w:rPr>
        <w:t>а λ</w:t>
      </w:r>
      <w:r w:rsidR="00C72392">
        <w:rPr>
          <w:sz w:val="28"/>
          <w:szCs w:val="28"/>
        </w:rPr>
        <w:t>&gt;0  е намаляваща функция при нарастването на То.</w:t>
      </w:r>
      <w:r w:rsidR="00B55E72" w:rsidRPr="00B55E72">
        <w:rPr>
          <w:noProof/>
          <w:sz w:val="28"/>
          <w:szCs w:val="28"/>
          <w:lang w:val="en-US" w:eastAsia="en-US"/>
        </w:rPr>
        <w:t xml:space="preserve"> </w:t>
      </w:r>
    </w:p>
    <w:p w:rsidR="00DD2CBA" w:rsidRPr="00DD2CBA" w:rsidRDefault="00C72392" w:rsidP="004F5175">
      <w:pPr>
        <w:rPr>
          <w:sz w:val="28"/>
          <w:szCs w:val="28"/>
          <w:lang w:val="en-US"/>
        </w:rPr>
      </w:pPr>
      <w:r>
        <w:rPr>
          <w:sz w:val="28"/>
          <w:szCs w:val="28"/>
        </w:rPr>
        <w:t>За надеждностната функция дадена в пример 2.6</w:t>
      </w:r>
      <w:r w:rsidR="00D07580">
        <w:rPr>
          <w:sz w:val="28"/>
          <w:szCs w:val="28"/>
        </w:rPr>
        <w:t>., условната надеждност е:</w:t>
      </w:r>
      <w:r w:rsidR="00D07580">
        <w:rPr>
          <w:sz w:val="28"/>
          <w:szCs w:val="28"/>
        </w:rPr>
        <w:br/>
      </w:r>
      <w:r w:rsidR="00D07580">
        <w:rPr>
          <w:noProof/>
          <w:sz w:val="28"/>
          <w:szCs w:val="28"/>
          <w:lang w:val="en-US" w:eastAsia="en-US"/>
        </w:rPr>
        <w:drawing>
          <wp:inline distT="0" distB="0" distL="0" distR="0">
            <wp:extent cx="4657725" cy="819150"/>
            <wp:effectExtent l="19050" t="0" r="9525" b="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srcRect/>
                    <a:stretch>
                      <a:fillRect/>
                    </a:stretch>
                  </pic:blipFill>
                  <pic:spPr bwMode="auto">
                    <a:xfrm>
                      <a:off x="0" y="0"/>
                      <a:ext cx="4657725" cy="819150"/>
                    </a:xfrm>
                    <a:prstGeom prst="rect">
                      <a:avLst/>
                    </a:prstGeom>
                    <a:noFill/>
                    <a:ln w="9525">
                      <a:noFill/>
                      <a:miter lim="800000"/>
                      <a:headEnd/>
                      <a:tailEnd/>
                    </a:ln>
                  </pic:spPr>
                </pic:pic>
              </a:graphicData>
            </a:graphic>
          </wp:inline>
        </w:drawing>
      </w:r>
      <w:r w:rsidR="00DD2CBA">
        <w:rPr>
          <w:sz w:val="28"/>
          <w:szCs w:val="28"/>
          <w:lang w:val="en-US"/>
        </w:rPr>
        <w:br/>
      </w:r>
    </w:p>
    <w:p w:rsidR="00DD2CBA" w:rsidRDefault="00DD2CBA" w:rsidP="004F5175">
      <w:pPr>
        <w:rPr>
          <w:sz w:val="28"/>
          <w:szCs w:val="28"/>
          <w:lang w:val="en-US"/>
        </w:rPr>
      </w:pPr>
      <w:r>
        <w:rPr>
          <w:sz w:val="28"/>
          <w:szCs w:val="28"/>
        </w:rPr>
        <w:t xml:space="preserve">2.6.1. </w:t>
      </w:r>
      <w:r w:rsidR="004D71D9">
        <w:rPr>
          <w:sz w:val="28"/>
          <w:szCs w:val="28"/>
        </w:rPr>
        <w:t>Остатъчн</w:t>
      </w:r>
      <w:r w:rsidR="004D71D9">
        <w:rPr>
          <w:sz w:val="28"/>
          <w:szCs w:val="28"/>
          <w:lang w:val="en-US"/>
        </w:rPr>
        <w:t>o</w:t>
      </w:r>
      <w:r>
        <w:rPr>
          <w:sz w:val="28"/>
          <w:szCs w:val="28"/>
        </w:rPr>
        <w:t xml:space="preserve"> </w:t>
      </w:r>
      <w:r>
        <w:rPr>
          <w:sz w:val="28"/>
          <w:szCs w:val="28"/>
          <w:lang w:val="en-US"/>
        </w:rPr>
        <w:t>MTTF</w:t>
      </w:r>
    </w:p>
    <w:p w:rsidR="00780D64" w:rsidRDefault="00DD2CBA" w:rsidP="004F5175">
      <w:pPr>
        <w:rPr>
          <w:sz w:val="28"/>
          <w:szCs w:val="28"/>
        </w:rPr>
      </w:pPr>
      <w:r>
        <w:rPr>
          <w:sz w:val="28"/>
          <w:szCs w:val="28"/>
        </w:rPr>
        <w:br/>
        <w:t xml:space="preserve">Тъй като </w:t>
      </w:r>
      <w:r>
        <w:rPr>
          <w:sz w:val="28"/>
          <w:szCs w:val="28"/>
          <w:lang w:val="en-US"/>
        </w:rPr>
        <w:t xml:space="preserve">R(t|To) e </w:t>
      </w:r>
      <w:r>
        <w:rPr>
          <w:sz w:val="28"/>
          <w:szCs w:val="28"/>
        </w:rPr>
        <w:t xml:space="preserve">надеждностна функция, </w:t>
      </w:r>
      <w:r w:rsidR="00A20873">
        <w:rPr>
          <w:sz w:val="28"/>
          <w:szCs w:val="28"/>
        </w:rPr>
        <w:t>остатъчното</w:t>
      </w:r>
      <w:r>
        <w:rPr>
          <w:sz w:val="28"/>
          <w:szCs w:val="28"/>
        </w:rPr>
        <w:t xml:space="preserve"> </w:t>
      </w:r>
      <w:r>
        <w:rPr>
          <w:sz w:val="28"/>
          <w:szCs w:val="28"/>
          <w:lang w:val="en-US"/>
        </w:rPr>
        <w:t xml:space="preserve">MTTF </w:t>
      </w:r>
      <w:r w:rsidR="001D30FF">
        <w:rPr>
          <w:sz w:val="28"/>
          <w:szCs w:val="28"/>
        </w:rPr>
        <w:t xml:space="preserve">може да се извлече от </w:t>
      </w:r>
      <w:r w:rsidR="001D30FF">
        <w:rPr>
          <w:noProof/>
          <w:sz w:val="28"/>
          <w:szCs w:val="28"/>
          <w:lang w:val="en-US" w:eastAsia="en-US"/>
        </w:rPr>
        <w:drawing>
          <wp:inline distT="0" distB="0" distL="0" distR="0">
            <wp:extent cx="5762625" cy="638175"/>
            <wp:effectExtent l="19050" t="0" r="9525"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srcRect/>
                    <a:stretch>
                      <a:fillRect/>
                    </a:stretch>
                  </pic:blipFill>
                  <pic:spPr bwMode="auto">
                    <a:xfrm>
                      <a:off x="0" y="0"/>
                      <a:ext cx="5762625" cy="638175"/>
                    </a:xfrm>
                    <a:prstGeom prst="rect">
                      <a:avLst/>
                    </a:prstGeom>
                    <a:noFill/>
                    <a:ln w="9525">
                      <a:noFill/>
                      <a:miter lim="800000"/>
                      <a:headEnd/>
                      <a:tailEnd/>
                    </a:ln>
                  </pic:spPr>
                </pic:pic>
              </a:graphicData>
            </a:graphic>
          </wp:inline>
        </w:drawing>
      </w:r>
      <w:r>
        <w:rPr>
          <w:sz w:val="28"/>
          <w:szCs w:val="28"/>
        </w:rPr>
        <w:br/>
        <w:t xml:space="preserve">където </w:t>
      </w:r>
      <w:r>
        <w:rPr>
          <w:sz w:val="28"/>
          <w:szCs w:val="28"/>
          <w:lang w:val="en-US"/>
        </w:rPr>
        <w:t xml:space="preserve">t’=t+To.  </w:t>
      </w:r>
      <w:r w:rsidR="00760CE5">
        <w:rPr>
          <w:sz w:val="28"/>
          <w:szCs w:val="28"/>
        </w:rPr>
        <w:t>За тези  устройства, оцеле</w:t>
      </w:r>
      <w:r>
        <w:rPr>
          <w:sz w:val="28"/>
          <w:szCs w:val="28"/>
        </w:rPr>
        <w:t xml:space="preserve">ли до времето То, уравнение (2.8)  определя „малкото” им останал живот. За компоненти имащи </w:t>
      </w:r>
      <w:r>
        <w:rPr>
          <w:sz w:val="28"/>
          <w:szCs w:val="28"/>
          <w:lang w:val="en-US"/>
        </w:rPr>
        <w:t>IFR(DFR)</w:t>
      </w:r>
      <w:r>
        <w:rPr>
          <w:sz w:val="28"/>
          <w:szCs w:val="28"/>
        </w:rPr>
        <w:t xml:space="preserve">, се очаква </w:t>
      </w:r>
      <w:r w:rsidR="00780D64">
        <w:rPr>
          <w:sz w:val="28"/>
          <w:szCs w:val="28"/>
          <w:lang w:val="en-US"/>
        </w:rPr>
        <w:t>MTTF(To)</w:t>
      </w:r>
      <w:r w:rsidR="00780D64">
        <w:rPr>
          <w:sz w:val="28"/>
          <w:szCs w:val="28"/>
        </w:rPr>
        <w:t xml:space="preserve"> да бъде намаляваща(нарастваща) функция на То, както е показано в следващите примери.</w:t>
      </w:r>
    </w:p>
    <w:p w:rsidR="00544919" w:rsidRDefault="00780D64" w:rsidP="004F5175">
      <w:pPr>
        <w:rPr>
          <w:sz w:val="28"/>
          <w:szCs w:val="28"/>
          <w:lang w:val="en-US"/>
        </w:rPr>
      </w:pPr>
      <w:r>
        <w:rPr>
          <w:sz w:val="28"/>
          <w:szCs w:val="28"/>
        </w:rPr>
        <w:tab/>
        <w:t xml:space="preserve">Надеждностната функция </w:t>
      </w:r>
      <w:r w:rsidR="00227248">
        <w:rPr>
          <w:noProof/>
          <w:sz w:val="28"/>
          <w:szCs w:val="28"/>
          <w:lang w:val="en-US" w:eastAsia="en-US"/>
        </w:rPr>
        <w:drawing>
          <wp:inline distT="0" distB="0" distL="0" distR="0">
            <wp:extent cx="1409700" cy="323850"/>
            <wp:effectExtent l="19050" t="0" r="0" b="0"/>
            <wp:docPr id="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srcRect/>
                    <a:stretch>
                      <a:fillRect/>
                    </a:stretch>
                  </pic:blipFill>
                  <pic:spPr bwMode="auto">
                    <a:xfrm>
                      <a:off x="0" y="0"/>
                      <a:ext cx="1409700" cy="323850"/>
                    </a:xfrm>
                    <a:prstGeom prst="rect">
                      <a:avLst/>
                    </a:prstGeom>
                    <a:noFill/>
                    <a:ln w="9525">
                      <a:noFill/>
                      <a:miter lim="800000"/>
                      <a:headEnd/>
                      <a:tailEnd/>
                    </a:ln>
                  </pic:spPr>
                </pic:pic>
              </a:graphicData>
            </a:graphic>
          </wp:inline>
        </w:drawing>
      </w:r>
      <w:r>
        <w:rPr>
          <w:sz w:val="28"/>
          <w:szCs w:val="28"/>
          <w:lang w:val="en-US"/>
        </w:rPr>
        <w:t xml:space="preserve"> </w:t>
      </w:r>
      <w:r w:rsidR="00227248">
        <w:rPr>
          <w:sz w:val="28"/>
          <w:szCs w:val="28"/>
        </w:rPr>
        <w:t>за</w:t>
      </w:r>
      <w:r w:rsidR="00227248">
        <w:rPr>
          <w:sz w:val="28"/>
          <w:szCs w:val="28"/>
          <w:lang w:val="en-US"/>
        </w:rPr>
        <w:t xml:space="preserve"> </w:t>
      </w:r>
      <w:r w:rsidR="00227248">
        <w:rPr>
          <w:noProof/>
          <w:sz w:val="28"/>
          <w:szCs w:val="28"/>
          <w:lang w:val="en-US" w:eastAsia="en-US"/>
        </w:rPr>
        <w:drawing>
          <wp:inline distT="0" distB="0" distL="0" distR="0">
            <wp:extent cx="1019175" cy="276225"/>
            <wp:effectExtent l="19050" t="0" r="9525" b="0"/>
            <wp:docPr id="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srcRect/>
                    <a:stretch>
                      <a:fillRect/>
                    </a:stretch>
                  </pic:blipFill>
                  <pic:spPr bwMode="auto">
                    <a:xfrm>
                      <a:off x="0" y="0"/>
                      <a:ext cx="1019175" cy="276225"/>
                    </a:xfrm>
                    <a:prstGeom prst="rect">
                      <a:avLst/>
                    </a:prstGeom>
                    <a:noFill/>
                    <a:ln w="9525">
                      <a:noFill/>
                      <a:miter lim="800000"/>
                      <a:headEnd/>
                      <a:tailEnd/>
                    </a:ln>
                  </pic:spPr>
                </pic:pic>
              </a:graphicData>
            </a:graphic>
          </wp:inline>
        </w:drawing>
      </w:r>
      <w:r>
        <w:rPr>
          <w:sz w:val="28"/>
          <w:szCs w:val="28"/>
          <w:lang w:val="en-US"/>
        </w:rPr>
        <w:t xml:space="preserve"> </w:t>
      </w:r>
      <w:r>
        <w:rPr>
          <w:sz w:val="28"/>
          <w:szCs w:val="28"/>
        </w:rPr>
        <w:t xml:space="preserve">и нула другаде има </w:t>
      </w:r>
      <w:r>
        <w:rPr>
          <w:sz w:val="28"/>
          <w:szCs w:val="28"/>
          <w:lang w:val="en-US"/>
        </w:rPr>
        <w:t xml:space="preserve">IFR. </w:t>
      </w:r>
      <w:r>
        <w:rPr>
          <w:sz w:val="28"/>
          <w:szCs w:val="28"/>
        </w:rPr>
        <w:t xml:space="preserve">Нейната </w:t>
      </w:r>
      <w:r w:rsidR="00544919">
        <w:rPr>
          <w:sz w:val="28"/>
          <w:szCs w:val="28"/>
        </w:rPr>
        <w:t>остатъчна</w:t>
      </w:r>
      <w:r>
        <w:rPr>
          <w:sz w:val="28"/>
          <w:szCs w:val="28"/>
        </w:rPr>
        <w:t xml:space="preserve"> </w:t>
      </w:r>
      <w:r>
        <w:rPr>
          <w:sz w:val="28"/>
          <w:szCs w:val="28"/>
          <w:lang w:val="en-US"/>
        </w:rPr>
        <w:t xml:space="preserve">MTTF </w:t>
      </w:r>
      <w:r w:rsidR="00227248">
        <w:rPr>
          <w:sz w:val="28"/>
          <w:szCs w:val="28"/>
        </w:rPr>
        <w:t xml:space="preserve">се задава чрез </w:t>
      </w:r>
      <w:r w:rsidR="00227248">
        <w:rPr>
          <w:noProof/>
          <w:sz w:val="28"/>
          <w:szCs w:val="28"/>
          <w:lang w:val="en-US" w:eastAsia="en-US"/>
        </w:rPr>
        <w:drawing>
          <wp:inline distT="0" distB="0" distL="0" distR="0">
            <wp:extent cx="5753100" cy="619125"/>
            <wp:effectExtent l="19050" t="0" r="0" b="0"/>
            <wp:docPr id="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srcRect/>
                    <a:stretch>
                      <a:fillRect/>
                    </a:stretch>
                  </pic:blipFill>
                  <pic:spPr bwMode="auto">
                    <a:xfrm>
                      <a:off x="0" y="0"/>
                      <a:ext cx="5753100" cy="619125"/>
                    </a:xfrm>
                    <a:prstGeom prst="rect">
                      <a:avLst/>
                    </a:prstGeom>
                    <a:noFill/>
                    <a:ln w="9525">
                      <a:noFill/>
                      <a:miter lim="800000"/>
                      <a:headEnd/>
                      <a:tailEnd/>
                    </a:ln>
                  </pic:spPr>
                </pic:pic>
              </a:graphicData>
            </a:graphic>
          </wp:inline>
        </w:drawing>
      </w:r>
      <w:r w:rsidR="00227248">
        <w:rPr>
          <w:sz w:val="28"/>
          <w:szCs w:val="28"/>
        </w:rPr>
        <w:br/>
        <w:t>Надеждностната функция</w:t>
      </w:r>
      <w:r w:rsidR="00227248">
        <w:rPr>
          <w:noProof/>
          <w:sz w:val="28"/>
          <w:szCs w:val="28"/>
          <w:lang w:val="en-US" w:eastAsia="en-US"/>
        </w:rPr>
        <w:drawing>
          <wp:inline distT="0" distB="0" distL="0" distR="0">
            <wp:extent cx="2333625" cy="733425"/>
            <wp:effectExtent l="19050" t="0" r="9525" b="0"/>
            <wp:docPr id="1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srcRect/>
                    <a:stretch>
                      <a:fillRect/>
                    </a:stretch>
                  </pic:blipFill>
                  <pic:spPr bwMode="auto">
                    <a:xfrm>
                      <a:off x="0" y="0"/>
                      <a:ext cx="2333625" cy="733425"/>
                    </a:xfrm>
                    <a:prstGeom prst="rect">
                      <a:avLst/>
                    </a:prstGeom>
                    <a:noFill/>
                    <a:ln w="9525">
                      <a:noFill/>
                      <a:miter lim="800000"/>
                      <a:headEnd/>
                      <a:tailEnd/>
                    </a:ln>
                  </pic:spPr>
                </pic:pic>
              </a:graphicData>
            </a:graphic>
          </wp:inline>
        </w:drawing>
      </w:r>
      <w:r>
        <w:rPr>
          <w:sz w:val="28"/>
          <w:szCs w:val="28"/>
        </w:rPr>
        <w:t>, к</w:t>
      </w:r>
      <w:r w:rsidR="00544919">
        <w:rPr>
          <w:sz w:val="28"/>
          <w:szCs w:val="28"/>
        </w:rPr>
        <w:t>ъ</w:t>
      </w:r>
      <w:r w:rsidR="006B6C8D">
        <w:rPr>
          <w:sz w:val="28"/>
          <w:szCs w:val="28"/>
        </w:rPr>
        <w:t>дето а&gt;0 е параметър</w:t>
      </w:r>
      <w:r>
        <w:rPr>
          <w:sz w:val="28"/>
          <w:szCs w:val="28"/>
        </w:rPr>
        <w:t xml:space="preserve"> на разпределението, има следната „случ</w:t>
      </w:r>
      <w:r w:rsidR="006B6C8D">
        <w:rPr>
          <w:sz w:val="28"/>
          <w:szCs w:val="28"/>
        </w:rPr>
        <w:t xml:space="preserve">айностна” функция  </w:t>
      </w:r>
      <w:r w:rsidR="006B6C8D">
        <w:rPr>
          <w:noProof/>
          <w:sz w:val="28"/>
          <w:szCs w:val="28"/>
          <w:lang w:val="en-US" w:eastAsia="en-US"/>
        </w:rPr>
        <w:drawing>
          <wp:inline distT="0" distB="0" distL="0" distR="0">
            <wp:extent cx="1314450" cy="647700"/>
            <wp:effectExtent l="19050" t="0" r="0" b="0"/>
            <wp:docPr id="1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srcRect/>
                    <a:stretch>
                      <a:fillRect/>
                    </a:stretch>
                  </pic:blipFill>
                  <pic:spPr bwMode="auto">
                    <a:xfrm>
                      <a:off x="0" y="0"/>
                      <a:ext cx="1314450" cy="647700"/>
                    </a:xfrm>
                    <a:prstGeom prst="rect">
                      <a:avLst/>
                    </a:prstGeom>
                    <a:noFill/>
                    <a:ln w="9525">
                      <a:noFill/>
                      <a:miter lim="800000"/>
                      <a:headEnd/>
                      <a:tailEnd/>
                    </a:ln>
                  </pic:spPr>
                </pic:pic>
              </a:graphicData>
            </a:graphic>
          </wp:inline>
        </w:drawing>
      </w:r>
      <w:r>
        <w:rPr>
          <w:sz w:val="28"/>
          <w:szCs w:val="28"/>
        </w:rPr>
        <w:t xml:space="preserve">, която е намаляваща. </w:t>
      </w:r>
      <w:r>
        <w:rPr>
          <w:sz w:val="28"/>
          <w:szCs w:val="28"/>
          <w:lang w:val="en-US"/>
        </w:rPr>
        <w:t xml:space="preserve">MTTF </w:t>
      </w:r>
      <w:r w:rsidR="006E09D0">
        <w:rPr>
          <w:sz w:val="28"/>
          <w:szCs w:val="28"/>
        </w:rPr>
        <w:t>е</w:t>
      </w:r>
      <w:r w:rsidR="006E09D0">
        <w:rPr>
          <w:sz w:val="28"/>
          <w:szCs w:val="28"/>
          <w:lang w:val="en-US"/>
        </w:rPr>
        <w:t xml:space="preserve"> </w:t>
      </w:r>
      <w:r w:rsidR="006E09D0">
        <w:rPr>
          <w:noProof/>
          <w:sz w:val="28"/>
          <w:szCs w:val="28"/>
          <w:lang w:val="en-US" w:eastAsia="en-US"/>
        </w:rPr>
        <w:drawing>
          <wp:inline distT="0" distB="0" distL="0" distR="0">
            <wp:extent cx="5762625" cy="523875"/>
            <wp:effectExtent l="19050" t="0" r="9525" b="0"/>
            <wp:docPr id="1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srcRect/>
                    <a:stretch>
                      <a:fillRect/>
                    </a:stretch>
                  </pic:blipFill>
                  <pic:spPr bwMode="auto">
                    <a:xfrm>
                      <a:off x="0" y="0"/>
                      <a:ext cx="5762625" cy="523875"/>
                    </a:xfrm>
                    <a:prstGeom prst="rect">
                      <a:avLst/>
                    </a:prstGeom>
                    <a:noFill/>
                    <a:ln w="9525">
                      <a:noFill/>
                      <a:miter lim="800000"/>
                      <a:headEnd/>
                      <a:tailEnd/>
                    </a:ln>
                  </pic:spPr>
                </pic:pic>
              </a:graphicData>
            </a:graphic>
          </wp:inline>
        </w:drawing>
      </w:r>
    </w:p>
    <w:p w:rsidR="007728DB" w:rsidRPr="006E09D0" w:rsidRDefault="007728DB" w:rsidP="004F5175">
      <w:pPr>
        <w:rPr>
          <w:sz w:val="28"/>
          <w:szCs w:val="28"/>
          <w:lang w:val="en-US"/>
        </w:rPr>
      </w:pPr>
    </w:p>
    <w:p w:rsidR="00201D6D" w:rsidRDefault="00544919" w:rsidP="004F5175">
      <w:pPr>
        <w:rPr>
          <w:sz w:val="28"/>
          <w:szCs w:val="28"/>
        </w:rPr>
      </w:pPr>
      <w:r>
        <w:rPr>
          <w:sz w:val="28"/>
          <w:szCs w:val="28"/>
        </w:rPr>
        <w:lastRenderedPageBreak/>
        <w:tab/>
        <w:t xml:space="preserve">Това има интересното свойство, че остатъчната средна стойност се увеличава от сумата на настоящата възраст. Ако То=0, </w:t>
      </w:r>
      <w:r w:rsidR="00201D6D">
        <w:rPr>
          <w:sz w:val="28"/>
          <w:szCs w:val="28"/>
        </w:rPr>
        <w:t xml:space="preserve">безусловната средна стойност, се получава </w:t>
      </w:r>
      <w:r w:rsidR="00201D6D">
        <w:rPr>
          <w:sz w:val="28"/>
          <w:szCs w:val="28"/>
          <w:lang w:val="en-US"/>
        </w:rPr>
        <w:t>MTTF=a</w:t>
      </w:r>
      <w:r w:rsidR="00201D6D">
        <w:rPr>
          <w:sz w:val="28"/>
          <w:szCs w:val="28"/>
        </w:rPr>
        <w:t>.</w:t>
      </w:r>
      <w:r w:rsidR="00201D6D">
        <w:rPr>
          <w:sz w:val="28"/>
          <w:szCs w:val="28"/>
        </w:rPr>
        <w:br/>
      </w:r>
      <w:r w:rsidR="00201D6D">
        <w:rPr>
          <w:sz w:val="28"/>
          <w:szCs w:val="28"/>
        </w:rPr>
        <w:br/>
        <w:t>2.7. Физика на метода (методите) на отказ при бърнинг на интегрални схеми.</w:t>
      </w:r>
    </w:p>
    <w:p w:rsidR="0079294B" w:rsidRDefault="00201D6D" w:rsidP="004F5175">
      <w:pPr>
        <w:rPr>
          <w:sz w:val="28"/>
          <w:szCs w:val="28"/>
        </w:rPr>
      </w:pPr>
      <w:r>
        <w:rPr>
          <w:sz w:val="28"/>
          <w:szCs w:val="28"/>
        </w:rPr>
        <w:tab/>
      </w:r>
      <w:r w:rsidR="0079294B">
        <w:rPr>
          <w:sz w:val="28"/>
          <w:szCs w:val="28"/>
        </w:rPr>
        <w:t>Тестването</w:t>
      </w:r>
      <w:r>
        <w:rPr>
          <w:sz w:val="28"/>
          <w:szCs w:val="28"/>
        </w:rPr>
        <w:t xml:space="preserve"> е процес, който открива дефекти в дадена партида устройства, които могат </w:t>
      </w:r>
      <w:r w:rsidR="00731B60">
        <w:rPr>
          <w:sz w:val="28"/>
          <w:szCs w:val="28"/>
        </w:rPr>
        <w:t>да проявят рано дефектни характе</w:t>
      </w:r>
      <w:r>
        <w:rPr>
          <w:sz w:val="28"/>
          <w:szCs w:val="28"/>
        </w:rPr>
        <w:t xml:space="preserve">ристики за разлика от цялата продукция. Такива дефекти възникват в следствие на различни непостоянности, открити  чрез стресови </w:t>
      </w:r>
      <w:r w:rsidR="00864DEF">
        <w:rPr>
          <w:sz w:val="28"/>
          <w:szCs w:val="28"/>
        </w:rPr>
        <w:t>или нестресови тестове</w:t>
      </w:r>
      <w:r w:rsidR="0079294B">
        <w:rPr>
          <w:sz w:val="28"/>
          <w:szCs w:val="28"/>
        </w:rPr>
        <w:t>, включително бърнинг.</w:t>
      </w:r>
      <w:r w:rsidR="0079294B">
        <w:rPr>
          <w:sz w:val="28"/>
          <w:szCs w:val="28"/>
        </w:rPr>
        <w:br/>
      </w:r>
    </w:p>
    <w:p w:rsidR="0079294B" w:rsidRDefault="0079294B" w:rsidP="004F5175">
      <w:pPr>
        <w:rPr>
          <w:sz w:val="28"/>
          <w:szCs w:val="28"/>
        </w:rPr>
      </w:pPr>
      <w:r>
        <w:rPr>
          <w:sz w:val="28"/>
          <w:szCs w:val="28"/>
        </w:rPr>
        <w:t>2.7.1. Философия на бърнингът</w:t>
      </w:r>
    </w:p>
    <w:p w:rsidR="0079294B" w:rsidRDefault="0079294B" w:rsidP="004F5175">
      <w:pPr>
        <w:rPr>
          <w:sz w:val="28"/>
          <w:szCs w:val="28"/>
        </w:rPr>
      </w:pPr>
      <w:r>
        <w:rPr>
          <w:sz w:val="28"/>
          <w:szCs w:val="28"/>
        </w:rPr>
        <w:tab/>
        <w:t>Бърнинг се използва като тест, подлагащ устройства на продължителна работа при високи температури, за да ускори ранни откази и да елиминира уча</w:t>
      </w:r>
      <w:r w:rsidR="00E05782">
        <w:rPr>
          <w:sz w:val="28"/>
          <w:szCs w:val="28"/>
        </w:rPr>
        <w:t>стъка на „детска смъртност</w:t>
      </w:r>
      <w:r>
        <w:rPr>
          <w:sz w:val="28"/>
          <w:szCs w:val="28"/>
        </w:rPr>
        <w:t>”. Обикновено бърнингът се основава на моделът на откази по кривата на ваната. Кривата на ваната се използва, за да определи нивото и степента на тестване. Но</w:t>
      </w:r>
      <w:r w:rsidR="00B12F69">
        <w:rPr>
          <w:sz w:val="28"/>
          <w:szCs w:val="28"/>
        </w:rPr>
        <w:t xml:space="preserve"> тези методи за откази са остаре</w:t>
      </w:r>
      <w:r>
        <w:rPr>
          <w:sz w:val="28"/>
          <w:szCs w:val="28"/>
        </w:rPr>
        <w:t>ли и употребата им е намаляла.</w:t>
      </w:r>
    </w:p>
    <w:p w:rsidR="00B5070B" w:rsidRDefault="0079294B" w:rsidP="004F5175">
      <w:pPr>
        <w:rPr>
          <w:sz w:val="28"/>
          <w:szCs w:val="28"/>
        </w:rPr>
      </w:pPr>
      <w:r>
        <w:rPr>
          <w:sz w:val="28"/>
          <w:szCs w:val="28"/>
        </w:rPr>
        <w:tab/>
        <w:t xml:space="preserve">Целта на бърнингът е да предотврати появяването на </w:t>
      </w:r>
      <w:r w:rsidR="00B5070B">
        <w:rPr>
          <w:sz w:val="28"/>
          <w:szCs w:val="28"/>
        </w:rPr>
        <w:t>дефекти. Бърнингът обикновено е</w:t>
      </w:r>
      <w:r w:rsidR="00B12F69">
        <w:rPr>
          <w:sz w:val="28"/>
          <w:szCs w:val="28"/>
        </w:rPr>
        <w:t xml:space="preserve"> изискване, налагано от клиента</w:t>
      </w:r>
      <w:r w:rsidR="00B5070B">
        <w:rPr>
          <w:sz w:val="28"/>
          <w:szCs w:val="28"/>
        </w:rPr>
        <w:t xml:space="preserve"> за демонстрация на повишената надеждност на продукта; производителите имат различни бърнинг процедури за един и същ клас продукти за военни и </w:t>
      </w:r>
      <w:r w:rsidR="00C406E3">
        <w:rPr>
          <w:sz w:val="28"/>
          <w:szCs w:val="28"/>
        </w:rPr>
        <w:t>търговски</w:t>
      </w:r>
      <w:r w:rsidR="00B5070B">
        <w:rPr>
          <w:sz w:val="28"/>
          <w:szCs w:val="28"/>
        </w:rPr>
        <w:t xml:space="preserve"> клиенти.</w:t>
      </w:r>
    </w:p>
    <w:p w:rsidR="00A25EC5" w:rsidRDefault="00B5070B" w:rsidP="004F5175">
      <w:pPr>
        <w:rPr>
          <w:sz w:val="28"/>
          <w:szCs w:val="28"/>
        </w:rPr>
      </w:pPr>
      <w:r>
        <w:rPr>
          <w:sz w:val="28"/>
          <w:szCs w:val="28"/>
        </w:rPr>
        <w:tab/>
      </w:r>
      <w:r w:rsidR="00A25EC5">
        <w:rPr>
          <w:sz w:val="28"/>
          <w:szCs w:val="28"/>
        </w:rPr>
        <w:t>Ти</w:t>
      </w:r>
      <w:r>
        <w:rPr>
          <w:sz w:val="28"/>
          <w:szCs w:val="28"/>
        </w:rPr>
        <w:t>пичната бърнинг процедура се състои в поставянето на части в термокамера за оп</w:t>
      </w:r>
      <w:r w:rsidR="007A5182">
        <w:rPr>
          <w:sz w:val="28"/>
          <w:szCs w:val="28"/>
        </w:rPr>
        <w:t>ределен период от време под вли</w:t>
      </w:r>
      <w:r>
        <w:rPr>
          <w:sz w:val="28"/>
          <w:szCs w:val="28"/>
        </w:rPr>
        <w:t>яние на електричество.</w:t>
      </w:r>
      <w:r w:rsidR="00A25EC5">
        <w:rPr>
          <w:sz w:val="28"/>
          <w:szCs w:val="28"/>
        </w:rPr>
        <w:t xml:space="preserve"> По време и/или след подлагане на термичен тест се провеждат функционални тестове. Частите, които не издържат теста се отстраняват, а тези, които издържат могат да се използват.</w:t>
      </w:r>
    </w:p>
    <w:p w:rsidR="00A25EC5" w:rsidRDefault="00A25EC5" w:rsidP="004F5175">
      <w:pPr>
        <w:rPr>
          <w:sz w:val="28"/>
          <w:szCs w:val="28"/>
        </w:rPr>
      </w:pPr>
      <w:r>
        <w:rPr>
          <w:sz w:val="28"/>
          <w:szCs w:val="28"/>
        </w:rPr>
        <w:tab/>
      </w:r>
    </w:p>
    <w:p w:rsidR="00A25EC5" w:rsidRDefault="00A25EC5" w:rsidP="004F5175">
      <w:pPr>
        <w:rPr>
          <w:sz w:val="28"/>
          <w:szCs w:val="28"/>
        </w:rPr>
      </w:pPr>
      <w:r>
        <w:rPr>
          <w:sz w:val="28"/>
          <w:szCs w:val="28"/>
        </w:rPr>
        <w:t>2.7.2. Проблем с настощ(ия) метод при бърнинг</w:t>
      </w:r>
    </w:p>
    <w:p w:rsidR="00C406E3" w:rsidRDefault="00A25EC5" w:rsidP="004F5175">
      <w:pPr>
        <w:rPr>
          <w:sz w:val="28"/>
          <w:szCs w:val="28"/>
        </w:rPr>
      </w:pPr>
      <w:r>
        <w:rPr>
          <w:sz w:val="28"/>
          <w:szCs w:val="28"/>
        </w:rPr>
        <w:t>Преглед на бърнинг практиките използвани от някои водещи производители на ИС показват, че въпреки че бърнингът се счита за метод за елиминирането на дребни (маргинални) устройства с дефекти от производствени отклонения, особеностите на бърнингът варират (табл 2.5). Повечето компании имат собствени спецификации за бърнинг за серийни продукти</w:t>
      </w:r>
      <w:r w:rsidR="00C406E3">
        <w:rPr>
          <w:sz w:val="28"/>
          <w:szCs w:val="28"/>
        </w:rPr>
        <w:t xml:space="preserve">; </w:t>
      </w:r>
      <w:r w:rsidR="00C406E3">
        <w:rPr>
          <w:sz w:val="28"/>
          <w:szCs w:val="28"/>
          <w:lang w:val="en-US"/>
        </w:rPr>
        <w:t xml:space="preserve">MIL-STD-833 </w:t>
      </w:r>
      <w:r w:rsidR="00C406E3">
        <w:rPr>
          <w:sz w:val="28"/>
          <w:szCs w:val="28"/>
        </w:rPr>
        <w:t xml:space="preserve">се използва да удовлетвори бърнинг изискванията за военни продукти. Други компании използват само </w:t>
      </w:r>
      <w:r w:rsidR="00C406E3">
        <w:rPr>
          <w:sz w:val="28"/>
          <w:szCs w:val="28"/>
          <w:lang w:val="en-US"/>
        </w:rPr>
        <w:t xml:space="preserve">MIL-STD-833, </w:t>
      </w:r>
      <w:r w:rsidR="00C406E3">
        <w:rPr>
          <w:sz w:val="28"/>
          <w:szCs w:val="28"/>
        </w:rPr>
        <w:t>но изборът на Метод 1051 бърнинг процедури за осигуряване на качеството изглежда своеволен (спорен, предубеден). Набляга се на емпиричния анализ, без никакво внимание към ценовата ефективност или последващи модификации в производствения процес или процесът на сглобяване.</w:t>
      </w:r>
    </w:p>
    <w:p w:rsidR="002B5A47" w:rsidRDefault="00C406E3" w:rsidP="004F5175">
      <w:pPr>
        <w:rPr>
          <w:sz w:val="28"/>
          <w:szCs w:val="28"/>
        </w:rPr>
      </w:pPr>
      <w:r>
        <w:rPr>
          <w:sz w:val="28"/>
          <w:szCs w:val="28"/>
        </w:rPr>
        <w:lastRenderedPageBreak/>
        <w:tab/>
        <w:t>Настоящият бърнинг е обширна процедура, състояща се</w:t>
      </w:r>
      <w:r w:rsidR="00E17B9E">
        <w:rPr>
          <w:sz w:val="28"/>
          <w:szCs w:val="28"/>
        </w:rPr>
        <w:t xml:space="preserve"> от комбинация от време, устойчива температура и електрическо натоварване. Бърнинг процедурите често се провеждат без каквито и да е предварителни сведения за природата на дефектите, които да бъдат ускорени, механизмът на отказ на устройството ил</w:t>
      </w:r>
      <w:r w:rsidR="00C54DEE">
        <w:rPr>
          <w:sz w:val="28"/>
          <w:szCs w:val="28"/>
        </w:rPr>
        <w:t>и тяхната чувствителност към пос</w:t>
      </w:r>
      <w:r w:rsidR="00E17B9E">
        <w:rPr>
          <w:sz w:val="28"/>
          <w:szCs w:val="28"/>
        </w:rPr>
        <w:t>тоянна температура или без всякакво количествено доказателство за подобрението, постигнато чрез процеса.</w:t>
      </w:r>
    </w:p>
    <w:p w:rsidR="00E17B9E" w:rsidRDefault="00E17B9E" w:rsidP="004F5175">
      <w:pPr>
        <w:rPr>
          <w:sz w:val="28"/>
          <w:szCs w:val="28"/>
        </w:rPr>
      </w:pPr>
      <w:r>
        <w:rPr>
          <w:sz w:val="28"/>
          <w:szCs w:val="28"/>
        </w:rPr>
        <w:tab/>
        <w:t>Разглеждайки информацията от различни</w:t>
      </w:r>
      <w:r w:rsidR="00637928">
        <w:rPr>
          <w:sz w:val="28"/>
          <w:szCs w:val="28"/>
        </w:rPr>
        <w:t xml:space="preserve"> компания, бърнингът се е показал неефективен за ускоряване на много откази. Информацията, събрана от източници от много процедури показва, че по-голямата част от отказите ускорени чрез бърнинг не са валидни. Валидни откази включват механични повреди, счупени връзки и счупени пинчета на корпуса. Невалидните откази включват повреди при употреба, например електростатичен разряд. Доказано е, че бърнингът разкрива по-малко от 0,5% от отказите от които по-малко от 0,002% са били валидни. Ето защо отказите, които бърнингът ускорява е малко вероятно да се проявят в практиката, което </w:t>
      </w:r>
      <w:r w:rsidR="002D230D">
        <w:rPr>
          <w:sz w:val="28"/>
          <w:szCs w:val="28"/>
        </w:rPr>
        <w:t>отхвърля целта на бърнингът.</w:t>
      </w:r>
    </w:p>
    <w:p w:rsidR="002D230D" w:rsidRDefault="002D230D" w:rsidP="004F5175">
      <w:pPr>
        <w:rPr>
          <w:sz w:val="28"/>
          <w:szCs w:val="28"/>
        </w:rPr>
      </w:pPr>
      <w:r>
        <w:rPr>
          <w:sz w:val="28"/>
          <w:szCs w:val="28"/>
        </w:rPr>
        <w:tab/>
        <w:t>Бърнингът не може да ускори много откази, защото се провежда при приемане на общоприетото схващане, че мех</w:t>
      </w:r>
      <w:r w:rsidR="00F257F9">
        <w:rPr>
          <w:sz w:val="28"/>
          <w:szCs w:val="28"/>
        </w:rPr>
        <w:t>анизмите на отказ са висока</w:t>
      </w:r>
      <w:r>
        <w:rPr>
          <w:sz w:val="28"/>
          <w:szCs w:val="28"/>
        </w:rPr>
        <w:t xml:space="preserve"> температура, промяна на температурата, темповете на промяна на температурата или че относителната температурна разлика предизвикват откази. Пример, показващ че отказите не са постоянни – </w:t>
      </w:r>
      <w:r>
        <w:rPr>
          <w:sz w:val="28"/>
          <w:szCs w:val="28"/>
          <w:lang w:val="en-US"/>
        </w:rPr>
        <w:t xml:space="preserve">TriQuant Semiconductor </w:t>
      </w:r>
      <w:r>
        <w:rPr>
          <w:sz w:val="28"/>
          <w:szCs w:val="28"/>
        </w:rPr>
        <w:t xml:space="preserve">откриват по време на тестове на техните </w:t>
      </w:r>
      <w:r>
        <w:rPr>
          <w:sz w:val="28"/>
          <w:szCs w:val="28"/>
          <w:lang w:val="en-US"/>
        </w:rPr>
        <w:t xml:space="preserve">GaAs </w:t>
      </w:r>
      <w:r>
        <w:rPr>
          <w:sz w:val="28"/>
          <w:szCs w:val="28"/>
        </w:rPr>
        <w:t>ИС, че бърнингът е неефективен в откриването на какъвто и да е механизъм на отказ. Причините очертали нуждата от вникване в архитектурата и механизми на отказ, които са независими от постоянната температура.</w:t>
      </w:r>
    </w:p>
    <w:p w:rsidR="002D230D" w:rsidRDefault="002D230D" w:rsidP="004F5175">
      <w:pPr>
        <w:rPr>
          <w:sz w:val="28"/>
          <w:szCs w:val="28"/>
        </w:rPr>
      </w:pPr>
      <w:r>
        <w:rPr>
          <w:sz w:val="28"/>
          <w:szCs w:val="28"/>
        </w:rPr>
        <w:tab/>
        <w:t>Друг</w:t>
      </w:r>
      <w:r w:rsidR="003559E1">
        <w:rPr>
          <w:sz w:val="28"/>
          <w:szCs w:val="28"/>
        </w:rPr>
        <w:t>а</w:t>
      </w:r>
      <w:r>
        <w:rPr>
          <w:sz w:val="28"/>
          <w:szCs w:val="28"/>
        </w:rPr>
        <w:t xml:space="preserve"> причина би могла да бъде</w:t>
      </w:r>
      <w:r w:rsidR="003559E1">
        <w:rPr>
          <w:sz w:val="28"/>
          <w:szCs w:val="28"/>
        </w:rPr>
        <w:t xml:space="preserve"> това, че бърнинг се провежда без предварително знание какъв механизъм на отказ ще трябва да се ускорява. Употребата на бърнинг без обръщане на внимание на доминиращия механизъм на отказ и природата на температурните зависимости е грешна употреба на концепциите за надеждността. Такава употреба на бърнинг може да предизвика усилия за избягване на откази</w:t>
      </w:r>
      <w:r w:rsidR="00F67839">
        <w:rPr>
          <w:sz w:val="28"/>
          <w:szCs w:val="28"/>
        </w:rPr>
        <w:t xml:space="preserve"> без получаване на очакваните общи резултати или скъпи системни промени, чиято цена и сложност надвишават очакваните ползи от надеждността. </w:t>
      </w:r>
    </w:p>
    <w:p w:rsidR="000D0151" w:rsidRDefault="000D0151" w:rsidP="004F5175">
      <w:pPr>
        <w:rPr>
          <w:sz w:val="28"/>
          <w:szCs w:val="28"/>
        </w:rPr>
      </w:pPr>
      <w:r>
        <w:rPr>
          <w:sz w:val="28"/>
          <w:szCs w:val="28"/>
        </w:rPr>
        <w:tab/>
        <w:t>Тъй като бърнингът не ускорява много откази, някои хора вярват, че той е по-ефективен ако се прилога за по-продължително време. Въпреки това след множество тестове, Моторола стига до извода, че след 160 часа, ефективността на бърнингът намалява значително и отказите се доближават до нула през следващите 1000 часа. Други проблеми се проявяват в следствие на бърнинг, включващ:</w:t>
      </w:r>
      <w:r>
        <w:rPr>
          <w:sz w:val="28"/>
          <w:szCs w:val="28"/>
        </w:rPr>
        <w:br/>
      </w:r>
      <w:r>
        <w:rPr>
          <w:sz w:val="28"/>
          <w:szCs w:val="28"/>
        </w:rPr>
        <w:tab/>
        <w:t>- повреди на паладия</w:t>
      </w:r>
      <w:r>
        <w:rPr>
          <w:sz w:val="28"/>
          <w:szCs w:val="28"/>
        </w:rPr>
        <w:br/>
      </w:r>
      <w:r>
        <w:rPr>
          <w:sz w:val="28"/>
          <w:szCs w:val="28"/>
        </w:rPr>
        <w:tab/>
        <w:t>- нарастване на утечните токове</w:t>
      </w:r>
      <w:r>
        <w:rPr>
          <w:sz w:val="28"/>
          <w:szCs w:val="28"/>
        </w:rPr>
        <w:br/>
      </w:r>
      <w:r>
        <w:rPr>
          <w:sz w:val="28"/>
          <w:szCs w:val="28"/>
        </w:rPr>
        <w:tab/>
        <w:t>- повреди, причинени от допълнителни обработки</w:t>
      </w:r>
    </w:p>
    <w:p w:rsidR="000D0151" w:rsidRDefault="000D0151" w:rsidP="004F5175">
      <w:pPr>
        <w:rPr>
          <w:sz w:val="28"/>
          <w:szCs w:val="28"/>
        </w:rPr>
      </w:pPr>
    </w:p>
    <w:p w:rsidR="000D0151" w:rsidRDefault="000D0151" w:rsidP="004F5175">
      <w:pPr>
        <w:rPr>
          <w:sz w:val="28"/>
          <w:szCs w:val="28"/>
        </w:rPr>
      </w:pPr>
      <w:r>
        <w:rPr>
          <w:sz w:val="28"/>
          <w:szCs w:val="28"/>
        </w:rPr>
        <w:tab/>
        <w:t>Бърнингът потенциално може да повреди паладийното покритие на изводите, което може да предизвика проблеми при запояването. В резултат покритието на крачетата изчезва, оставяйки</w:t>
      </w:r>
      <w:r w:rsidR="00E608BF">
        <w:rPr>
          <w:sz w:val="28"/>
          <w:szCs w:val="28"/>
        </w:rPr>
        <w:t xml:space="preserve"> повърхност, върху която не може да се запоява. Установено е още, че пластмасови части се разлагат по-бързо от съответстващите им керамични части след излагане на различни нива на радиация. Утечният ток се увеличава до точка, в която работата се променя до нежелано ниво. Причината за това се дължи в съдържанието на </w:t>
      </w:r>
      <w:r w:rsidR="00DD0766">
        <w:rPr>
          <w:sz w:val="28"/>
          <w:szCs w:val="28"/>
        </w:rPr>
        <w:t>различни материали в херметически затворения корпус</w:t>
      </w:r>
      <w:r w:rsidR="00E608BF">
        <w:rPr>
          <w:sz w:val="28"/>
          <w:szCs w:val="28"/>
        </w:rPr>
        <w:t xml:space="preserve">, които отсъстват в керамичните части. По време на </w:t>
      </w:r>
      <w:r w:rsidR="00DD0766">
        <w:rPr>
          <w:sz w:val="28"/>
          <w:szCs w:val="28"/>
        </w:rPr>
        <w:t>бърнинг процесът, частите се пос</w:t>
      </w:r>
      <w:r w:rsidR="00E608BF">
        <w:rPr>
          <w:sz w:val="28"/>
          <w:szCs w:val="28"/>
        </w:rPr>
        <w:t>тавят и вадят от слотове, термокамерите, които ги правят податливи на допълнителни повреди при обработка. Повредите при обработка, които водят до откази вклюват механични повреди (например изкривени крачета)</w:t>
      </w:r>
      <w:r w:rsidR="00EB25E2">
        <w:rPr>
          <w:sz w:val="28"/>
          <w:szCs w:val="28"/>
        </w:rPr>
        <w:t xml:space="preserve">, електростатично разреждане </w:t>
      </w:r>
      <w:r w:rsidR="00EB25E2">
        <w:rPr>
          <w:sz w:val="28"/>
          <w:szCs w:val="28"/>
          <w:lang w:val="en-US"/>
        </w:rPr>
        <w:t xml:space="preserve">(ESD) </w:t>
      </w:r>
      <w:r w:rsidR="00EB25E2">
        <w:rPr>
          <w:sz w:val="28"/>
          <w:szCs w:val="28"/>
        </w:rPr>
        <w:t>и откази поради електрическо претоварване</w:t>
      </w:r>
      <w:r w:rsidR="00EB25E2">
        <w:rPr>
          <w:sz w:val="28"/>
          <w:szCs w:val="28"/>
          <w:lang w:val="en-US"/>
        </w:rPr>
        <w:t xml:space="preserve"> (EOS)</w:t>
      </w:r>
      <w:r w:rsidR="00EB25E2">
        <w:rPr>
          <w:sz w:val="28"/>
          <w:szCs w:val="28"/>
        </w:rPr>
        <w:t xml:space="preserve">. Много изследвания са били проведени, за да докажат факта, че бърнингът е източникът на </w:t>
      </w:r>
      <w:r w:rsidR="00EB25E2">
        <w:rPr>
          <w:sz w:val="28"/>
          <w:szCs w:val="28"/>
          <w:lang w:val="en-US"/>
        </w:rPr>
        <w:t xml:space="preserve">ESD/EOS </w:t>
      </w:r>
      <w:r w:rsidR="00EB25E2">
        <w:rPr>
          <w:sz w:val="28"/>
          <w:szCs w:val="28"/>
        </w:rPr>
        <w:t>повреди.</w:t>
      </w:r>
    </w:p>
    <w:p w:rsidR="00EB25E2" w:rsidRDefault="00EB25E2" w:rsidP="004F5175">
      <w:pPr>
        <w:rPr>
          <w:sz w:val="28"/>
          <w:szCs w:val="28"/>
        </w:rPr>
      </w:pPr>
    </w:p>
    <w:p w:rsidR="00EB25E2" w:rsidRDefault="00EB25E2" w:rsidP="004F5175">
      <w:pPr>
        <w:rPr>
          <w:sz w:val="28"/>
          <w:szCs w:val="28"/>
        </w:rPr>
      </w:pPr>
      <w:r>
        <w:rPr>
          <w:sz w:val="28"/>
          <w:szCs w:val="28"/>
        </w:rPr>
        <w:t>-------------</w:t>
      </w:r>
      <w:r>
        <w:rPr>
          <w:sz w:val="28"/>
          <w:szCs w:val="28"/>
        </w:rPr>
        <w:br/>
        <w:t>таблици</w:t>
      </w:r>
      <w:r>
        <w:rPr>
          <w:sz w:val="28"/>
          <w:szCs w:val="28"/>
        </w:rPr>
        <w:br/>
        <w:t>-------------</w:t>
      </w:r>
      <w:r>
        <w:rPr>
          <w:sz w:val="28"/>
          <w:szCs w:val="28"/>
        </w:rPr>
        <w:br/>
      </w:r>
    </w:p>
    <w:p w:rsidR="00EB25E2" w:rsidRDefault="00EB25E2" w:rsidP="004F5175">
      <w:pPr>
        <w:rPr>
          <w:sz w:val="28"/>
          <w:szCs w:val="28"/>
        </w:rPr>
      </w:pPr>
      <w:r>
        <w:rPr>
          <w:sz w:val="28"/>
          <w:szCs w:val="28"/>
        </w:rPr>
        <w:tab/>
        <w:t>Компоненти, поставяни и изваждани от слотове, термокамери, и преди и след-тестови процедури могат да претърпят допълнител</w:t>
      </w:r>
      <w:r w:rsidR="008F32A9">
        <w:rPr>
          <w:sz w:val="28"/>
          <w:szCs w:val="28"/>
        </w:rPr>
        <w:t>ни повреди при обработка под фор</w:t>
      </w:r>
      <w:r>
        <w:rPr>
          <w:sz w:val="28"/>
          <w:szCs w:val="28"/>
        </w:rPr>
        <w:t>мата на изкривени крачета и електростатично разреждане.</w:t>
      </w:r>
    </w:p>
    <w:p w:rsidR="00EB25E2" w:rsidRPr="00E47F31" w:rsidRDefault="00EB25E2" w:rsidP="004F5175">
      <w:pPr>
        <w:rPr>
          <w:sz w:val="28"/>
          <w:szCs w:val="28"/>
        </w:rPr>
      </w:pPr>
      <w:r>
        <w:rPr>
          <w:sz w:val="28"/>
          <w:szCs w:val="28"/>
        </w:rPr>
        <w:tab/>
        <w:t>Исторически погледнато, йонно</w:t>
      </w:r>
      <w:r w:rsidR="00E47F31">
        <w:rPr>
          <w:sz w:val="28"/>
          <w:szCs w:val="28"/>
        </w:rPr>
        <w:t>то</w:t>
      </w:r>
      <w:r>
        <w:rPr>
          <w:sz w:val="28"/>
          <w:szCs w:val="28"/>
        </w:rPr>
        <w:t xml:space="preserve"> замърсяване</w:t>
      </w:r>
      <w:r w:rsidR="00E47F31">
        <w:rPr>
          <w:sz w:val="28"/>
          <w:szCs w:val="28"/>
        </w:rPr>
        <w:t xml:space="preserve"> е бил основният механизъм, ускоряван с бърнинг. Натриеви, калие</w:t>
      </w:r>
      <w:r w:rsidR="000A7BC8">
        <w:rPr>
          <w:sz w:val="28"/>
          <w:szCs w:val="28"/>
        </w:rPr>
        <w:t>ви, или йони в оксидите на силиц</w:t>
      </w:r>
      <w:r w:rsidR="00E47F31">
        <w:rPr>
          <w:sz w:val="28"/>
          <w:szCs w:val="28"/>
        </w:rPr>
        <w:t xml:space="preserve">иевите МОС устройства под въздействието на температура водят до утечки във връзките и промяна в праговите напрежения, които да предизвикат отказ. </w:t>
      </w:r>
      <w:r w:rsidR="00E47F31">
        <w:rPr>
          <w:sz w:val="28"/>
          <w:szCs w:val="28"/>
          <w:lang w:val="en-US"/>
        </w:rPr>
        <w:t>GaAs MESFET-</w:t>
      </w:r>
      <w:r w:rsidR="00E47F31">
        <w:rPr>
          <w:sz w:val="28"/>
          <w:szCs w:val="28"/>
        </w:rPr>
        <w:t>базирани ИС нямат оксид между метализацията на гейта и повърхността на канала – интерфейсът е Шотки диод.</w:t>
      </w:r>
      <w:r w:rsidR="00E47F31">
        <w:rPr>
          <w:sz w:val="28"/>
          <w:szCs w:val="28"/>
        </w:rPr>
        <w:br/>
      </w:r>
      <w:r w:rsidR="00E47F31">
        <w:rPr>
          <w:sz w:val="28"/>
          <w:szCs w:val="28"/>
        </w:rPr>
        <w:tab/>
      </w:r>
      <w:r w:rsidR="002F5F1A">
        <w:rPr>
          <w:sz w:val="28"/>
          <w:szCs w:val="28"/>
        </w:rPr>
        <w:t>В опити да се подобри надеждността, производителите на микроелектронни елементи често са подлагали устройства на значително по-дълги периоди на бърнинг. Въпреки това от Моторала отбелязали, че повечето от отказите, ускорени чрез бърнинг се проявяват в първите 160 часа, при няколко или нито един отказ за следващите 1000 часа. Това се контролира от факта, че проектирания дълготраен темп на откази, основан на броя на отказите за 1000 часа е от същия порядък като реално измерения темп на откази за 1000 часа.</w:t>
      </w:r>
    </w:p>
    <w:sectPr w:rsidR="00EB25E2" w:rsidRPr="00E47F3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characterSpacingControl w:val="doNotCompress"/>
  <w:compat/>
  <w:rsids>
    <w:rsidRoot w:val="004F5175"/>
    <w:rsid w:val="0005040A"/>
    <w:rsid w:val="000A7BC8"/>
    <w:rsid w:val="000D0151"/>
    <w:rsid w:val="000E1CCC"/>
    <w:rsid w:val="001D30FF"/>
    <w:rsid w:val="00201D6D"/>
    <w:rsid w:val="00204712"/>
    <w:rsid w:val="00227248"/>
    <w:rsid w:val="002B5A47"/>
    <w:rsid w:val="002D230D"/>
    <w:rsid w:val="002F3E53"/>
    <w:rsid w:val="002F5F1A"/>
    <w:rsid w:val="003559E1"/>
    <w:rsid w:val="004420A1"/>
    <w:rsid w:val="004D71D9"/>
    <w:rsid w:val="004F5175"/>
    <w:rsid w:val="00544919"/>
    <w:rsid w:val="005C1820"/>
    <w:rsid w:val="00637928"/>
    <w:rsid w:val="006B6C8D"/>
    <w:rsid w:val="006E09D0"/>
    <w:rsid w:val="00731B60"/>
    <w:rsid w:val="00760CE5"/>
    <w:rsid w:val="007728DB"/>
    <w:rsid w:val="00780D64"/>
    <w:rsid w:val="0079294B"/>
    <w:rsid w:val="007A5182"/>
    <w:rsid w:val="00864DEF"/>
    <w:rsid w:val="008F32A9"/>
    <w:rsid w:val="00943EBC"/>
    <w:rsid w:val="009C4B80"/>
    <w:rsid w:val="009E2215"/>
    <w:rsid w:val="00A146D9"/>
    <w:rsid w:val="00A20873"/>
    <w:rsid w:val="00A25EC5"/>
    <w:rsid w:val="00AB79F2"/>
    <w:rsid w:val="00AC6F2B"/>
    <w:rsid w:val="00B12F69"/>
    <w:rsid w:val="00B5070B"/>
    <w:rsid w:val="00B55E72"/>
    <w:rsid w:val="00B67792"/>
    <w:rsid w:val="00BF2421"/>
    <w:rsid w:val="00C1725D"/>
    <w:rsid w:val="00C406E3"/>
    <w:rsid w:val="00C54DEE"/>
    <w:rsid w:val="00C72392"/>
    <w:rsid w:val="00D07580"/>
    <w:rsid w:val="00D57436"/>
    <w:rsid w:val="00D7324A"/>
    <w:rsid w:val="00D92C65"/>
    <w:rsid w:val="00DD0766"/>
    <w:rsid w:val="00DD2CBA"/>
    <w:rsid w:val="00DD42E1"/>
    <w:rsid w:val="00DD60CD"/>
    <w:rsid w:val="00DE4A7B"/>
    <w:rsid w:val="00E05782"/>
    <w:rsid w:val="00E17B9E"/>
    <w:rsid w:val="00E47F31"/>
    <w:rsid w:val="00E608BF"/>
    <w:rsid w:val="00EB25E2"/>
    <w:rsid w:val="00F257F9"/>
    <w:rsid w:val="00F52CCE"/>
    <w:rsid w:val="00F67839"/>
    <w:rsid w:val="00FC55D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bg-BG" w:eastAsia="bg-BG"/>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PlaceholderText">
    <w:name w:val="Placeholder Text"/>
    <w:basedOn w:val="DefaultParagraphFont"/>
    <w:uiPriority w:val="99"/>
    <w:semiHidden/>
    <w:rsid w:val="00F52CCE"/>
    <w:rPr>
      <w:color w:val="808080"/>
    </w:rPr>
  </w:style>
  <w:style w:type="paragraph" w:styleId="BalloonText">
    <w:name w:val="Balloon Text"/>
    <w:basedOn w:val="Normal"/>
    <w:link w:val="BalloonTextChar"/>
    <w:rsid w:val="00F52CCE"/>
    <w:rPr>
      <w:rFonts w:ascii="Tahoma" w:hAnsi="Tahoma" w:cs="Tahoma"/>
      <w:sz w:val="16"/>
      <w:szCs w:val="16"/>
    </w:rPr>
  </w:style>
  <w:style w:type="character" w:customStyle="1" w:styleId="BalloonTextChar">
    <w:name w:val="Balloon Text Char"/>
    <w:basedOn w:val="DefaultParagraphFont"/>
    <w:link w:val="BalloonText"/>
    <w:rsid w:val="00F52CCE"/>
    <w:rPr>
      <w:rFonts w:ascii="Tahoma" w:hAnsi="Tahoma" w:cs="Tahoma"/>
      <w:sz w:val="16"/>
      <w:szCs w:val="16"/>
      <w:lang w:val="bg-BG" w:eastAsia="bg-B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theme" Target="theme/theme1.xml"/><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5</Pages>
  <Words>1446</Words>
  <Characters>8246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2</vt:lpstr>
    </vt:vector>
  </TitlesOfParts>
  <Company>Home</Company>
  <LinksUpToDate>false</LinksUpToDate>
  <CharactersWithSpaces>9673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creator>Moni</dc:creator>
  <cp:lastModifiedBy>Mira</cp:lastModifiedBy>
  <cp:revision>37</cp:revision>
  <dcterms:created xsi:type="dcterms:W3CDTF">2010-05-08T14:16:00Z</dcterms:created>
  <dcterms:modified xsi:type="dcterms:W3CDTF">2010-05-08T15:54:00Z</dcterms:modified>
</cp:coreProperties>
</file>