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47" w:rsidRPr="00351C47" w:rsidRDefault="00351C47" w:rsidP="00351C47">
      <w:pPr>
        <w:spacing w:after="0"/>
        <w:jc w:val="right"/>
        <w:rPr>
          <w:rFonts w:ascii="Times New Roman" w:hAnsi="Times New Roman" w:cs="Times New Roman"/>
          <w:i/>
          <w:sz w:val="28"/>
          <w:szCs w:val="28"/>
          <w:u w:val="single"/>
        </w:rPr>
      </w:pPr>
      <w:r>
        <w:rPr>
          <w:rFonts w:ascii="Times New Roman" w:hAnsi="Times New Roman" w:cs="Times New Roman"/>
          <w:i/>
          <w:sz w:val="28"/>
          <w:szCs w:val="28"/>
          <w:u w:val="single"/>
        </w:rPr>
        <w:t>Симеон Иванов Джанджев</w:t>
      </w:r>
      <w:r>
        <w:rPr>
          <w:rFonts w:ascii="Times New Roman" w:hAnsi="Times New Roman" w:cs="Times New Roman"/>
          <w:i/>
          <w:sz w:val="28"/>
          <w:szCs w:val="28"/>
          <w:u w:val="single"/>
        </w:rPr>
        <w:br/>
        <w:t>гр. 42; ф.ном.101207113</w:t>
      </w:r>
    </w:p>
    <w:p w:rsidR="00351C47" w:rsidRDefault="00351C47" w:rsidP="000E0924">
      <w:pPr>
        <w:spacing w:after="0"/>
        <w:jc w:val="center"/>
        <w:rPr>
          <w:rFonts w:ascii="Times New Roman" w:hAnsi="Times New Roman" w:cs="Times New Roman"/>
          <w:b/>
          <w:sz w:val="36"/>
          <w:szCs w:val="36"/>
          <w:u w:val="single"/>
        </w:rPr>
      </w:pPr>
    </w:p>
    <w:p w:rsidR="001B54FB" w:rsidRPr="000E0924" w:rsidRDefault="000146DA" w:rsidP="000E0924">
      <w:pPr>
        <w:spacing w:after="0"/>
        <w:jc w:val="center"/>
        <w:rPr>
          <w:rFonts w:ascii="Times New Roman" w:hAnsi="Times New Roman" w:cs="Times New Roman"/>
          <w:b/>
          <w:sz w:val="36"/>
          <w:szCs w:val="36"/>
          <w:u w:val="single"/>
        </w:rPr>
      </w:pPr>
      <w:r w:rsidRPr="000E0924">
        <w:rPr>
          <w:rFonts w:ascii="Times New Roman" w:hAnsi="Times New Roman" w:cs="Times New Roman"/>
          <w:b/>
          <w:sz w:val="36"/>
          <w:szCs w:val="36"/>
          <w:u w:val="single"/>
        </w:rPr>
        <w:t xml:space="preserve">Оценка на надеждността използвайки </w:t>
      </w:r>
      <w:r w:rsidR="008509A9">
        <w:rPr>
          <w:rFonts w:ascii="Times New Roman" w:hAnsi="Times New Roman" w:cs="Times New Roman"/>
          <w:b/>
          <w:sz w:val="36"/>
          <w:szCs w:val="36"/>
          <w:u w:val="single"/>
        </w:rPr>
        <w:t>каталози</w:t>
      </w:r>
    </w:p>
    <w:p w:rsidR="000E0924" w:rsidRDefault="000E0924" w:rsidP="000E0924">
      <w:pPr>
        <w:spacing w:after="0"/>
        <w:jc w:val="center"/>
        <w:rPr>
          <w:rFonts w:ascii="Times New Roman" w:hAnsi="Times New Roman" w:cs="Times New Roman"/>
          <w:i/>
          <w:sz w:val="36"/>
          <w:szCs w:val="36"/>
        </w:rPr>
      </w:pPr>
      <w:r>
        <w:rPr>
          <w:rFonts w:ascii="Times New Roman" w:hAnsi="Times New Roman" w:cs="Times New Roman"/>
          <w:i/>
          <w:sz w:val="36"/>
          <w:szCs w:val="36"/>
        </w:rPr>
        <w:t>(Реферат)</w:t>
      </w:r>
    </w:p>
    <w:p w:rsidR="00351C47" w:rsidRPr="000E0924" w:rsidRDefault="00351C47" w:rsidP="000E0924">
      <w:pPr>
        <w:spacing w:after="0"/>
        <w:jc w:val="center"/>
        <w:rPr>
          <w:rFonts w:ascii="Times New Roman" w:hAnsi="Times New Roman" w:cs="Times New Roman"/>
          <w:i/>
          <w:sz w:val="36"/>
          <w:szCs w:val="36"/>
        </w:rPr>
      </w:pPr>
    </w:p>
    <w:p w:rsidR="001B54FB" w:rsidRDefault="000E0924" w:rsidP="00F94E5B">
      <w:pPr>
        <w:spacing w:after="0"/>
        <w:ind w:firstLine="708"/>
        <w:rPr>
          <w:rFonts w:ascii="Times New Roman" w:hAnsi="Times New Roman" w:cs="Times New Roman"/>
          <w:sz w:val="28"/>
          <w:szCs w:val="28"/>
        </w:rPr>
      </w:pPr>
      <w:r>
        <w:rPr>
          <w:rFonts w:ascii="Times New Roman" w:hAnsi="Times New Roman" w:cs="Times New Roman"/>
          <w:sz w:val="28"/>
          <w:szCs w:val="28"/>
        </w:rPr>
        <w:t>1</w:t>
      </w:r>
      <w:r w:rsidR="000146DA">
        <w:rPr>
          <w:rFonts w:ascii="Times New Roman" w:hAnsi="Times New Roman" w:cs="Times New Roman"/>
          <w:sz w:val="28"/>
          <w:szCs w:val="28"/>
        </w:rPr>
        <w:t xml:space="preserve">.1. </w:t>
      </w:r>
      <w:proofErr w:type="gramStart"/>
      <w:r w:rsidR="000146DA">
        <w:rPr>
          <w:rFonts w:ascii="Times New Roman" w:hAnsi="Times New Roman" w:cs="Times New Roman"/>
          <w:sz w:val="28"/>
          <w:szCs w:val="28"/>
          <w:lang w:val="en-US"/>
        </w:rPr>
        <w:t>MIL-HDBK-21</w:t>
      </w:r>
      <w:r w:rsidR="00DB3991">
        <w:rPr>
          <w:rFonts w:ascii="Times New Roman" w:hAnsi="Times New Roman" w:cs="Times New Roman"/>
          <w:sz w:val="28"/>
          <w:szCs w:val="28"/>
        </w:rPr>
        <w:t>7</w:t>
      </w:r>
      <w:r w:rsidR="009859EC">
        <w:rPr>
          <w:rFonts w:ascii="Times New Roman" w:hAnsi="Times New Roman" w:cs="Times New Roman"/>
          <w:sz w:val="28"/>
          <w:szCs w:val="28"/>
        </w:rPr>
        <w:t xml:space="preserve"> срещу</w:t>
      </w:r>
      <w:r w:rsidR="000146DA">
        <w:rPr>
          <w:rFonts w:ascii="Times New Roman" w:hAnsi="Times New Roman" w:cs="Times New Roman"/>
          <w:sz w:val="28"/>
          <w:szCs w:val="28"/>
          <w:lang w:val="en-US"/>
        </w:rPr>
        <w:t xml:space="preserve"> HALT/HASS</w:t>
      </w:r>
      <w:r w:rsidR="000146DA">
        <w:rPr>
          <w:rFonts w:ascii="Times New Roman" w:hAnsi="Times New Roman" w:cs="Times New Roman"/>
          <w:sz w:val="28"/>
          <w:szCs w:val="28"/>
          <w:lang w:val="en-US"/>
        </w:rPr>
        <w:br/>
      </w:r>
      <w:r w:rsidR="001B54FB">
        <w:rPr>
          <w:rFonts w:ascii="Times New Roman" w:hAnsi="Times New Roman" w:cs="Times New Roman"/>
          <w:sz w:val="28"/>
          <w:szCs w:val="28"/>
          <w:lang w:val="en-US"/>
        </w:rPr>
        <w:tab/>
      </w:r>
      <w:r w:rsidR="001B54FB">
        <w:rPr>
          <w:rFonts w:ascii="Times New Roman" w:hAnsi="Times New Roman" w:cs="Times New Roman"/>
          <w:sz w:val="28"/>
          <w:szCs w:val="28"/>
        </w:rPr>
        <w:t xml:space="preserve">През последните три десетилетия, </w:t>
      </w:r>
      <w:r w:rsidR="001B54FB">
        <w:rPr>
          <w:rFonts w:ascii="Times New Roman" w:hAnsi="Times New Roman" w:cs="Times New Roman"/>
          <w:sz w:val="28"/>
          <w:szCs w:val="28"/>
          <w:lang w:val="en-US"/>
        </w:rPr>
        <w:t>MIL-HDBK-21</w:t>
      </w:r>
      <w:r w:rsidR="00DB3991">
        <w:rPr>
          <w:rFonts w:ascii="Times New Roman" w:hAnsi="Times New Roman" w:cs="Times New Roman"/>
          <w:sz w:val="28"/>
          <w:szCs w:val="28"/>
        </w:rPr>
        <w:t>7</w:t>
      </w:r>
      <w:r w:rsidR="001B54FB">
        <w:rPr>
          <w:rFonts w:ascii="Times New Roman" w:hAnsi="Times New Roman" w:cs="Times New Roman"/>
          <w:sz w:val="28"/>
          <w:szCs w:val="28"/>
        </w:rPr>
        <w:t xml:space="preserve"> намир</w:t>
      </w:r>
      <w:r w:rsidR="00405B42">
        <w:rPr>
          <w:rFonts w:ascii="Times New Roman" w:hAnsi="Times New Roman" w:cs="Times New Roman"/>
          <w:sz w:val="28"/>
          <w:szCs w:val="28"/>
        </w:rPr>
        <w:t>а широка употреба за прогнозиране</w:t>
      </w:r>
      <w:r w:rsidR="001B54FB">
        <w:rPr>
          <w:rFonts w:ascii="Times New Roman" w:hAnsi="Times New Roman" w:cs="Times New Roman"/>
          <w:sz w:val="28"/>
          <w:szCs w:val="28"/>
        </w:rPr>
        <w:t xml:space="preserve"> на надеждността на даден продукт.</w:t>
      </w:r>
      <w:proofErr w:type="gramEnd"/>
      <w:r w:rsidR="001B54FB">
        <w:rPr>
          <w:rFonts w:ascii="Times New Roman" w:hAnsi="Times New Roman" w:cs="Times New Roman"/>
          <w:sz w:val="28"/>
          <w:szCs w:val="28"/>
        </w:rPr>
        <w:t xml:space="preserve"> Днес, обаче, високоускореното жизнено тестване </w:t>
      </w:r>
      <w:r w:rsidR="001B54FB">
        <w:rPr>
          <w:rFonts w:ascii="Times New Roman" w:hAnsi="Times New Roman" w:cs="Times New Roman"/>
          <w:sz w:val="28"/>
          <w:szCs w:val="28"/>
          <w:lang w:val="en-US"/>
        </w:rPr>
        <w:t xml:space="preserve">(HALT) </w:t>
      </w:r>
      <w:r w:rsidR="001B54FB">
        <w:rPr>
          <w:rFonts w:ascii="Times New Roman" w:hAnsi="Times New Roman" w:cs="Times New Roman"/>
          <w:sz w:val="28"/>
          <w:szCs w:val="28"/>
        </w:rPr>
        <w:t xml:space="preserve">и високускореното тестване на натоварване </w:t>
      </w:r>
      <w:r w:rsidR="001B54FB">
        <w:rPr>
          <w:rFonts w:ascii="Times New Roman" w:hAnsi="Times New Roman" w:cs="Times New Roman"/>
          <w:sz w:val="28"/>
          <w:szCs w:val="28"/>
          <w:lang w:val="en-US"/>
        </w:rPr>
        <w:t xml:space="preserve">(HASS) </w:t>
      </w:r>
      <w:r w:rsidR="00994BE4">
        <w:rPr>
          <w:rFonts w:ascii="Times New Roman" w:hAnsi="Times New Roman" w:cs="Times New Roman"/>
          <w:sz w:val="28"/>
          <w:szCs w:val="28"/>
        </w:rPr>
        <w:t xml:space="preserve">са признати като ефективни методи за засилване на надеждността на продукта. Военният стандарт и </w:t>
      </w:r>
      <w:r w:rsidR="00994BE4">
        <w:rPr>
          <w:rFonts w:ascii="Times New Roman" w:hAnsi="Times New Roman" w:cs="Times New Roman"/>
          <w:sz w:val="28"/>
          <w:szCs w:val="28"/>
          <w:lang w:val="en-US"/>
        </w:rPr>
        <w:t xml:space="preserve">HALT/HASS </w:t>
      </w:r>
      <w:r w:rsidR="00994BE4">
        <w:rPr>
          <w:rFonts w:ascii="Times New Roman" w:hAnsi="Times New Roman" w:cs="Times New Roman"/>
          <w:sz w:val="28"/>
          <w:szCs w:val="28"/>
        </w:rPr>
        <w:t>покриват различни зони</w:t>
      </w:r>
      <w:r w:rsidR="00F94E5B">
        <w:rPr>
          <w:rFonts w:ascii="Times New Roman" w:hAnsi="Times New Roman" w:cs="Times New Roman"/>
          <w:sz w:val="28"/>
          <w:szCs w:val="28"/>
        </w:rPr>
        <w:t xml:space="preserve"> в света на надеждността. Има ли връзка между тях?</w:t>
      </w:r>
    </w:p>
    <w:p w:rsidR="00F94E5B" w:rsidRDefault="00F94E5B" w:rsidP="00F94E5B">
      <w:pPr>
        <w:spacing w:after="0"/>
        <w:ind w:firstLine="708"/>
        <w:rPr>
          <w:rFonts w:ascii="Times New Roman" w:hAnsi="Times New Roman" w:cs="Times New Roman"/>
          <w:sz w:val="28"/>
          <w:szCs w:val="28"/>
        </w:rPr>
      </w:pPr>
      <w:r>
        <w:rPr>
          <w:rFonts w:ascii="Times New Roman" w:hAnsi="Times New Roman" w:cs="Times New Roman"/>
          <w:sz w:val="28"/>
          <w:szCs w:val="28"/>
        </w:rPr>
        <w:t>Производителите обикновено правят пр</w:t>
      </w:r>
      <w:r w:rsidR="00405B42">
        <w:rPr>
          <w:rFonts w:ascii="Times New Roman" w:hAnsi="Times New Roman" w:cs="Times New Roman"/>
          <w:sz w:val="28"/>
          <w:szCs w:val="28"/>
        </w:rPr>
        <w:t>огнози</w:t>
      </w:r>
      <w:r>
        <w:rPr>
          <w:rFonts w:ascii="Times New Roman" w:hAnsi="Times New Roman" w:cs="Times New Roman"/>
          <w:sz w:val="28"/>
          <w:szCs w:val="28"/>
        </w:rPr>
        <w:t xml:space="preserve"> за надеждността на база на модели на откази описани в </w:t>
      </w:r>
      <w:r>
        <w:rPr>
          <w:rFonts w:ascii="Times New Roman" w:hAnsi="Times New Roman" w:cs="Times New Roman"/>
          <w:sz w:val="28"/>
          <w:szCs w:val="28"/>
          <w:lang w:val="en-US"/>
        </w:rPr>
        <w:t>MIL-HDBK-218</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Bellcore</w:t>
      </w:r>
      <w:proofErr w:type="spellEnd"/>
      <w:r>
        <w:rPr>
          <w:rFonts w:ascii="Times New Roman" w:hAnsi="Times New Roman" w:cs="Times New Roman"/>
          <w:sz w:val="28"/>
          <w:szCs w:val="28"/>
          <w:lang w:val="en-US"/>
        </w:rPr>
        <w:t xml:space="preserve"> TR-332 </w:t>
      </w:r>
      <w:r>
        <w:rPr>
          <w:rFonts w:ascii="Times New Roman" w:hAnsi="Times New Roman" w:cs="Times New Roman"/>
          <w:sz w:val="28"/>
          <w:szCs w:val="28"/>
        </w:rPr>
        <w:t>или друг модел преди продуктът да бъде произведен или пуснат на пазара. Но когато продуктът се достави на клиентите и започнат да пристигат</w:t>
      </w:r>
      <w:r w:rsidR="00405B42">
        <w:rPr>
          <w:rFonts w:ascii="Times New Roman" w:hAnsi="Times New Roman" w:cs="Times New Roman"/>
          <w:sz w:val="28"/>
          <w:szCs w:val="28"/>
        </w:rPr>
        <w:t xml:space="preserve"> съобщения за реални откази, предварителните прогнози за надеждността понякога не се потвърждават от реалните откази.</w:t>
      </w:r>
    </w:p>
    <w:p w:rsidR="00405B42" w:rsidRDefault="00405B42" w:rsidP="00F94E5B">
      <w:pPr>
        <w:spacing w:after="0"/>
        <w:ind w:firstLine="708"/>
        <w:rPr>
          <w:rFonts w:ascii="Times New Roman" w:hAnsi="Times New Roman" w:cs="Times New Roman"/>
          <w:sz w:val="28"/>
          <w:szCs w:val="28"/>
        </w:rPr>
      </w:pPr>
      <w:r>
        <w:rPr>
          <w:rFonts w:ascii="Times New Roman" w:hAnsi="Times New Roman" w:cs="Times New Roman"/>
          <w:sz w:val="28"/>
          <w:szCs w:val="28"/>
        </w:rPr>
        <w:t>Някои производители казват, че прогнозния модел</w:t>
      </w:r>
      <w:r w:rsidR="00DB3991">
        <w:rPr>
          <w:rFonts w:ascii="Times New Roman" w:hAnsi="Times New Roman" w:cs="Times New Roman"/>
          <w:sz w:val="28"/>
          <w:szCs w:val="28"/>
        </w:rPr>
        <w:t xml:space="preserve"> може да бъде доста неточен в сравнение с характеристиките на практика. На какво се дължи несъответствието между прогнозите за надеждност и практическите резултати?</w:t>
      </w:r>
      <w:r w:rsidR="00DB3991">
        <w:rPr>
          <w:rFonts w:ascii="Times New Roman" w:hAnsi="Times New Roman" w:cs="Times New Roman"/>
          <w:sz w:val="28"/>
          <w:szCs w:val="28"/>
        </w:rPr>
        <w:br/>
      </w:r>
    </w:p>
    <w:p w:rsidR="00DB3991" w:rsidRDefault="00A94D08" w:rsidP="00DB3991">
      <w:pPr>
        <w:spacing w:after="0"/>
        <w:rPr>
          <w:rFonts w:ascii="Times New Roman" w:hAnsi="Times New Roman" w:cs="Times New Roman"/>
          <w:sz w:val="28"/>
          <w:szCs w:val="28"/>
        </w:rPr>
      </w:pPr>
      <w:r>
        <w:rPr>
          <w:rFonts w:ascii="Times New Roman" w:hAnsi="Times New Roman" w:cs="Times New Roman"/>
          <w:sz w:val="28"/>
          <w:szCs w:val="28"/>
        </w:rPr>
        <w:t>1</w:t>
      </w:r>
      <w:r w:rsidR="00DB3991">
        <w:rPr>
          <w:rFonts w:ascii="Times New Roman" w:hAnsi="Times New Roman" w:cs="Times New Roman"/>
          <w:sz w:val="28"/>
          <w:szCs w:val="28"/>
        </w:rPr>
        <w:t xml:space="preserve">.1.1. Целта на </w:t>
      </w:r>
      <w:r w:rsidR="00DB3991">
        <w:rPr>
          <w:rFonts w:ascii="Times New Roman" w:hAnsi="Times New Roman" w:cs="Times New Roman"/>
          <w:sz w:val="28"/>
          <w:szCs w:val="28"/>
          <w:lang w:val="en-US"/>
        </w:rPr>
        <w:t>MIL-HDBK-21</w:t>
      </w:r>
      <w:r w:rsidR="00DB3991">
        <w:rPr>
          <w:rFonts w:ascii="Times New Roman" w:hAnsi="Times New Roman" w:cs="Times New Roman"/>
          <w:sz w:val="28"/>
          <w:szCs w:val="28"/>
        </w:rPr>
        <w:t>7</w:t>
      </w:r>
    </w:p>
    <w:p w:rsidR="00B2458D" w:rsidRDefault="00DB3991" w:rsidP="00DB3991">
      <w:pPr>
        <w:spacing w:after="0"/>
        <w:rPr>
          <w:rFonts w:ascii="Times New Roman" w:hAnsi="Times New Roman" w:cs="Times New Roman"/>
          <w:sz w:val="28"/>
          <w:szCs w:val="28"/>
        </w:rPr>
      </w:pPr>
      <w:r>
        <w:rPr>
          <w:rFonts w:ascii="Times New Roman" w:hAnsi="Times New Roman" w:cs="Times New Roman"/>
          <w:sz w:val="28"/>
          <w:szCs w:val="28"/>
        </w:rPr>
        <w:tab/>
        <w:t>Този военен стандарт се използва, за да се оцени присъщата надеждност на електронна апаратура или система, основавайки се данни за откази на компонентите. Състои се от два о</w:t>
      </w:r>
      <w:r w:rsidR="00B2458D">
        <w:rPr>
          <w:rFonts w:ascii="Times New Roman" w:hAnsi="Times New Roman" w:cs="Times New Roman"/>
          <w:sz w:val="28"/>
          <w:szCs w:val="28"/>
        </w:rPr>
        <w:t>сновни метода за пронозиране:</w:t>
      </w:r>
    </w:p>
    <w:p w:rsidR="00DB3991" w:rsidRPr="00B2458D" w:rsidRDefault="00DB3991" w:rsidP="00B2458D">
      <w:pPr>
        <w:pStyle w:val="ListParagraph"/>
        <w:numPr>
          <w:ilvl w:val="0"/>
          <w:numId w:val="1"/>
        </w:numPr>
        <w:spacing w:after="0"/>
        <w:rPr>
          <w:rFonts w:ascii="Times New Roman" w:hAnsi="Times New Roman" w:cs="Times New Roman"/>
          <w:sz w:val="28"/>
          <w:szCs w:val="28"/>
        </w:rPr>
      </w:pPr>
      <w:r w:rsidRPr="00B2458D">
        <w:rPr>
          <w:rFonts w:ascii="Times New Roman" w:hAnsi="Times New Roman" w:cs="Times New Roman"/>
          <w:sz w:val="28"/>
          <w:szCs w:val="28"/>
        </w:rPr>
        <w:t>Анализ „Части-брой”: Изисква относително малко</w:t>
      </w:r>
      <w:r w:rsidR="005D171F" w:rsidRPr="00B2458D">
        <w:rPr>
          <w:rFonts w:ascii="Times New Roman" w:hAnsi="Times New Roman" w:cs="Times New Roman"/>
          <w:sz w:val="28"/>
          <w:szCs w:val="28"/>
        </w:rPr>
        <w:t xml:space="preserve"> информация за системата и използва основно броят на частите във всяка категори</w:t>
      </w:r>
      <w:r w:rsidR="00182DBF" w:rsidRPr="00B2458D">
        <w:rPr>
          <w:rFonts w:ascii="Times New Roman" w:hAnsi="Times New Roman" w:cs="Times New Roman"/>
          <w:sz w:val="28"/>
          <w:szCs w:val="28"/>
        </w:rPr>
        <w:t>я, отчитайки качеството на частите и условията, които се срещат. Като цяло</w:t>
      </w:r>
      <w:r w:rsidR="00B2458D" w:rsidRPr="00B2458D">
        <w:rPr>
          <w:rFonts w:ascii="Times New Roman" w:hAnsi="Times New Roman" w:cs="Times New Roman"/>
          <w:sz w:val="28"/>
          <w:szCs w:val="28"/>
        </w:rPr>
        <w:t xml:space="preserve"> методът се прилага в ранна фаза на проектиране, където детайлния дизайн на </w:t>
      </w:r>
      <w:r w:rsidR="00B2458D">
        <w:rPr>
          <w:rFonts w:ascii="Times New Roman" w:hAnsi="Times New Roman" w:cs="Times New Roman"/>
          <w:sz w:val="28"/>
          <w:szCs w:val="28"/>
        </w:rPr>
        <w:t>схемата</w:t>
      </w:r>
      <w:r w:rsidR="00B2458D" w:rsidRPr="00B2458D">
        <w:rPr>
          <w:rFonts w:ascii="Times New Roman" w:hAnsi="Times New Roman" w:cs="Times New Roman"/>
          <w:sz w:val="28"/>
          <w:szCs w:val="28"/>
        </w:rPr>
        <w:t xml:space="preserve"> не е известен, за да се осигури предварителна оценка за надеждността на системата.</w:t>
      </w:r>
    </w:p>
    <w:p w:rsidR="00B2458D" w:rsidRDefault="00B2458D" w:rsidP="00B2458D">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lastRenderedPageBreak/>
        <w:t>Прогноза „Части-натоварване”: Използва сложен модел, състоящ се от детайлизирана информация от анализ на натоварванията, също както и околна среда, качествени приложения, максимални стойности, сложност, температура, конструкция и множество други свързани с приложението фактори. Този метод е насочен за употреба към края на проектантския цикъл, когато точния дизайн на схемата е определен.</w:t>
      </w:r>
    </w:p>
    <w:p w:rsidR="00F505C2" w:rsidRDefault="00B2458D" w:rsidP="00F505C2">
      <w:pPr>
        <w:spacing w:after="0"/>
        <w:rPr>
          <w:rFonts w:ascii="Times New Roman" w:eastAsiaTheme="minorEastAsia" w:hAnsi="Times New Roman" w:cs="Times New Roman"/>
          <w:sz w:val="28"/>
          <w:szCs w:val="28"/>
          <w:lang w:val="en-US"/>
        </w:rPr>
      </w:pPr>
      <w:r>
        <w:rPr>
          <w:rFonts w:ascii="Times New Roman" w:hAnsi="Times New Roman" w:cs="Times New Roman"/>
          <w:sz w:val="28"/>
          <w:szCs w:val="28"/>
        </w:rPr>
        <w:t>Основният</w:t>
      </w:r>
      <w:r w:rsidR="00F505C2">
        <w:rPr>
          <w:rFonts w:ascii="Times New Roman" w:hAnsi="Times New Roman" w:cs="Times New Roman"/>
          <w:sz w:val="28"/>
          <w:szCs w:val="28"/>
        </w:rPr>
        <w:t xml:space="preserve"> модел на отказ в </w:t>
      </w:r>
      <w:r w:rsidR="00F505C2">
        <w:rPr>
          <w:rFonts w:ascii="Times New Roman" w:hAnsi="Times New Roman" w:cs="Times New Roman"/>
          <w:sz w:val="28"/>
          <w:szCs w:val="28"/>
          <w:lang w:val="en-US"/>
        </w:rPr>
        <w:t>MIL-HDBK-21</w:t>
      </w:r>
      <w:r w:rsidR="00F505C2">
        <w:rPr>
          <w:rFonts w:ascii="Times New Roman" w:hAnsi="Times New Roman" w:cs="Times New Roman"/>
          <w:sz w:val="28"/>
          <w:szCs w:val="28"/>
        </w:rPr>
        <w:t xml:space="preserve">7 и </w:t>
      </w:r>
      <w:proofErr w:type="spellStart"/>
      <w:r w:rsidR="00F505C2">
        <w:rPr>
          <w:rFonts w:ascii="Times New Roman" w:hAnsi="Times New Roman" w:cs="Times New Roman"/>
          <w:sz w:val="28"/>
          <w:szCs w:val="28"/>
          <w:lang w:val="en-US"/>
        </w:rPr>
        <w:t>Bellcore</w:t>
      </w:r>
      <w:proofErr w:type="spellEnd"/>
      <w:r w:rsidR="00F505C2">
        <w:rPr>
          <w:rFonts w:ascii="Times New Roman" w:hAnsi="Times New Roman" w:cs="Times New Roman"/>
          <w:sz w:val="28"/>
          <w:szCs w:val="28"/>
          <w:lang w:val="en-US"/>
        </w:rPr>
        <w:t xml:space="preserve"> TR-332</w:t>
      </w:r>
      <w:r w:rsidR="00F505C2">
        <w:rPr>
          <w:rFonts w:ascii="Times New Roman" w:hAnsi="Times New Roman" w:cs="Times New Roman"/>
          <w:sz w:val="28"/>
          <w:szCs w:val="28"/>
        </w:rPr>
        <w:t xml:space="preserve"> е от вида:</w:t>
      </w:r>
      <w:r w:rsidR="00F505C2">
        <w:rPr>
          <w:rFonts w:ascii="Times New Roman" w:hAnsi="Times New Roman" w:cs="Times New Roman"/>
          <w:sz w:val="28"/>
          <w:szCs w:val="28"/>
        </w:rPr>
        <w:br/>
      </w:r>
      <m:oMathPara>
        <m:oMath>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lang w:val="en-US"/>
                </w:rPr>
                <m:t>p</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b</m:t>
              </m:r>
            </m:sub>
          </m:sSub>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rPr>
                <m:t>Q</m:t>
              </m:r>
            </m:sub>
          </m:sSub>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rPr>
                <m:t>E</m:t>
              </m:r>
            </m:sub>
          </m:sSub>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rPr>
                <m:t>A</m:t>
              </m:r>
            </m:sub>
          </m:sSub>
        </m:oMath>
      </m:oMathPara>
    </w:p>
    <w:p w:rsidR="00F505C2" w:rsidRDefault="00F505C2" w:rsidP="00F505C2">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където </w:t>
      </w:r>
      <m:oMath>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b</m:t>
            </m:r>
          </m:sub>
        </m:sSub>
        <m:r>
          <w:rPr>
            <w:rFonts w:ascii="Cambria Math" w:hAnsi="Cambria Math" w:cs="Times New Roman"/>
            <w:sz w:val="28"/>
            <w:szCs w:val="28"/>
          </w:rPr>
          <m:t xml:space="preserve"> </m:t>
        </m:r>
      </m:oMath>
      <w:r>
        <w:rPr>
          <w:rFonts w:ascii="Times New Roman" w:eastAsiaTheme="minorEastAsia" w:hAnsi="Times New Roman" w:cs="Times New Roman"/>
          <w:sz w:val="28"/>
          <w:szCs w:val="28"/>
        </w:rPr>
        <w:t>е базовия темп на откази, описан от уравнението на Архениус</w:t>
      </w:r>
    </w:p>
    <w:p w:rsidR="00F505C2" w:rsidRDefault="00F505C2" w:rsidP="00F505C2">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rPr>
              <m:t>Q</m:t>
            </m:r>
          </m:sub>
        </m:sSub>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rPr>
              <m:t>E</m:t>
            </m:r>
          </m:sub>
        </m:sSub>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rPr>
              <m:t>A</m:t>
            </m:r>
          </m:sub>
        </m:sSub>
      </m:oMath>
      <w:r>
        <w:rPr>
          <w:rFonts w:ascii="Times New Roman" w:eastAsiaTheme="minorEastAsia" w:hAnsi="Times New Roman" w:cs="Times New Roman"/>
          <w:sz w:val="28"/>
          <w:szCs w:val="28"/>
        </w:rPr>
        <w:t xml:space="preserve"> - фактори, свързани с качеството на компонентите, околната среда и натоварването при употреба.</w:t>
      </w:r>
    </w:p>
    <w:p w:rsidR="00F505C2" w:rsidRDefault="00F505C2" w:rsidP="00F505C2">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Уравнението на Архениус илюстрира връзката между темповете на отказ и температурата за компонентите. Произлиза от наблюдаваната зависимост на химична реакция, газова дифузия и стойностите на миграция</w:t>
      </w:r>
      <w:r w:rsidR="00C56F7E">
        <w:rPr>
          <w:rFonts w:ascii="Times New Roman" w:eastAsiaTheme="minorEastAsia" w:hAnsi="Times New Roman" w:cs="Times New Roman"/>
          <w:sz w:val="28"/>
          <w:szCs w:val="28"/>
        </w:rPr>
        <w:t xml:space="preserve"> при промяна на температурата:</w:t>
      </w:r>
    </w:p>
    <w:p w:rsidR="00C56F7E" w:rsidRDefault="00C56F7E" w:rsidP="00F505C2">
      <w:pPr>
        <w:spacing w:after="0"/>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b</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К</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-Е</m:t>
              </m:r>
            </m:num>
            <m:den>
              <m:r>
                <w:rPr>
                  <w:rFonts w:ascii="Cambria Math" w:eastAsiaTheme="minorEastAsia" w:hAnsi="Cambria Math" w:cs="Times New Roman"/>
                  <w:sz w:val="28"/>
                  <w:szCs w:val="28"/>
                </w:rPr>
                <m:t>кТ</m:t>
              </m:r>
            </m:den>
          </m:f>
        </m:oMath>
      </m:oMathPara>
    </w:p>
    <w:p w:rsidR="00C56F7E" w:rsidRDefault="00C56F7E" w:rsidP="00F505C2">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където </w:t>
      </w:r>
      <m:oMath>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b</m:t>
            </m:r>
          </m:sub>
        </m:sSub>
      </m:oMath>
      <w:r>
        <w:rPr>
          <w:rFonts w:ascii="Times New Roman" w:eastAsiaTheme="minorEastAsia" w:hAnsi="Times New Roman" w:cs="Times New Roman"/>
          <w:sz w:val="28"/>
          <w:szCs w:val="28"/>
        </w:rPr>
        <w:t xml:space="preserve"> - скорост на отказите на компонентите</w:t>
      </w:r>
      <w:r>
        <w:rPr>
          <w:rFonts w:ascii="Times New Roman" w:eastAsiaTheme="minorEastAsia" w:hAnsi="Times New Roman" w:cs="Times New Roman"/>
          <w:sz w:val="28"/>
          <w:szCs w:val="28"/>
        </w:rPr>
        <w:br/>
      </w:r>
      <w:r>
        <w:rPr>
          <w:rFonts w:ascii="Times New Roman" w:eastAsiaTheme="minorEastAsia" w:hAnsi="Times New Roman" w:cs="Times New Roman"/>
          <w:sz w:val="28"/>
          <w:szCs w:val="28"/>
        </w:rPr>
        <w:tab/>
        <w:t xml:space="preserve">  Е – активационна енергия за процеса</w:t>
      </w:r>
      <w:r>
        <w:rPr>
          <w:rFonts w:ascii="Times New Roman" w:eastAsiaTheme="minorEastAsia" w:hAnsi="Times New Roman" w:cs="Times New Roman"/>
          <w:sz w:val="28"/>
          <w:szCs w:val="28"/>
        </w:rPr>
        <w:br/>
      </w:r>
      <w:r>
        <w:rPr>
          <w:rFonts w:ascii="Times New Roman" w:eastAsiaTheme="minorEastAsia" w:hAnsi="Times New Roman" w:cs="Times New Roman"/>
          <w:sz w:val="28"/>
          <w:szCs w:val="28"/>
        </w:rPr>
        <w:tab/>
        <w:t xml:space="preserve">  к – константа на Болцман</w:t>
      </w:r>
      <w:r>
        <w:rPr>
          <w:rFonts w:ascii="Times New Roman" w:eastAsiaTheme="minorEastAsia" w:hAnsi="Times New Roman" w:cs="Times New Roman"/>
          <w:sz w:val="28"/>
          <w:szCs w:val="28"/>
        </w:rPr>
        <w:br/>
      </w:r>
      <w:r>
        <w:rPr>
          <w:rFonts w:ascii="Times New Roman" w:eastAsiaTheme="minorEastAsia" w:hAnsi="Times New Roman" w:cs="Times New Roman"/>
          <w:sz w:val="28"/>
          <w:szCs w:val="28"/>
        </w:rPr>
        <w:tab/>
        <w:t xml:space="preserve">  Т – абсолютна температура</w:t>
      </w:r>
      <w:r>
        <w:rPr>
          <w:rFonts w:ascii="Times New Roman" w:eastAsiaTheme="minorEastAsia" w:hAnsi="Times New Roman" w:cs="Times New Roman"/>
          <w:sz w:val="28"/>
          <w:szCs w:val="28"/>
        </w:rPr>
        <w:br/>
      </w:r>
      <w:r>
        <w:rPr>
          <w:rFonts w:ascii="Times New Roman" w:eastAsiaTheme="minorEastAsia" w:hAnsi="Times New Roman" w:cs="Times New Roman"/>
          <w:sz w:val="28"/>
          <w:szCs w:val="28"/>
        </w:rPr>
        <w:tab/>
        <w:t xml:space="preserve">  К – константа</w:t>
      </w:r>
    </w:p>
    <w:p w:rsidR="00C56F7E" w:rsidRDefault="00C56F7E" w:rsidP="00F505C2">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Детайлизирани модели се осигуряват за всеки вид част, като например микросхеми, транзистори, резистори и конектори.</w:t>
      </w:r>
    </w:p>
    <w:p w:rsidR="00C56F7E" w:rsidRDefault="00C56F7E" w:rsidP="00F505C2">
      <w:pPr>
        <w:spacing w:after="0"/>
        <w:rPr>
          <w:rFonts w:ascii="Times New Roman" w:eastAsiaTheme="minorEastAsia" w:hAnsi="Times New Roman" w:cs="Times New Roman"/>
          <w:sz w:val="28"/>
          <w:szCs w:val="28"/>
        </w:rPr>
      </w:pPr>
    </w:p>
    <w:p w:rsidR="00C56F7E" w:rsidRDefault="00A94D08" w:rsidP="00F505C2">
      <w:pPr>
        <w:spacing w:after="0"/>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1</w:t>
      </w:r>
      <w:r w:rsidR="00C56F7E">
        <w:rPr>
          <w:rFonts w:ascii="Times New Roman" w:eastAsiaTheme="minorEastAsia" w:hAnsi="Times New Roman" w:cs="Times New Roman"/>
          <w:sz w:val="28"/>
          <w:szCs w:val="28"/>
        </w:rPr>
        <w:t xml:space="preserve">.1.2. </w:t>
      </w:r>
      <w:r w:rsidR="00DF3D93">
        <w:rPr>
          <w:rFonts w:ascii="Times New Roman" w:eastAsiaTheme="minorEastAsia" w:hAnsi="Times New Roman" w:cs="Times New Roman"/>
          <w:sz w:val="28"/>
          <w:szCs w:val="28"/>
        </w:rPr>
        <w:t>Предимството</w:t>
      </w:r>
      <w:r w:rsidR="00C56F7E">
        <w:rPr>
          <w:rFonts w:ascii="Times New Roman" w:eastAsiaTheme="minorEastAsia" w:hAnsi="Times New Roman" w:cs="Times New Roman"/>
          <w:sz w:val="28"/>
          <w:szCs w:val="28"/>
        </w:rPr>
        <w:t xml:space="preserve"> на </w:t>
      </w:r>
      <w:r w:rsidR="00C56F7E">
        <w:rPr>
          <w:rFonts w:ascii="Times New Roman" w:eastAsiaTheme="minorEastAsia" w:hAnsi="Times New Roman" w:cs="Times New Roman"/>
          <w:sz w:val="28"/>
          <w:szCs w:val="28"/>
          <w:lang w:val="en-US"/>
        </w:rPr>
        <w:t>HALT/HASS</w:t>
      </w:r>
    </w:p>
    <w:p w:rsidR="00C56F7E" w:rsidRDefault="00C56F7E" w:rsidP="00F505C2">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ab/>
        <w:t xml:space="preserve">HALT </w:t>
      </w:r>
      <w:r>
        <w:rPr>
          <w:rFonts w:ascii="Times New Roman" w:eastAsiaTheme="minorEastAsia" w:hAnsi="Times New Roman" w:cs="Times New Roman"/>
          <w:sz w:val="28"/>
          <w:szCs w:val="28"/>
        </w:rPr>
        <w:t xml:space="preserve">се извършва по време на проектирането, за да се открият слабите надеждностни връзки в продукта. Приложените натоварвания към продукта са доста над обичайните условия за превоз, съхранение и употреба. </w:t>
      </w:r>
      <w:r>
        <w:rPr>
          <w:rFonts w:ascii="Times New Roman" w:eastAsiaTheme="minorEastAsia" w:hAnsi="Times New Roman" w:cs="Times New Roman"/>
          <w:sz w:val="28"/>
          <w:szCs w:val="28"/>
          <w:lang w:val="en-US"/>
        </w:rPr>
        <w:t xml:space="preserve">HALT </w:t>
      </w:r>
      <w:r>
        <w:rPr>
          <w:rFonts w:ascii="Times New Roman" w:eastAsiaTheme="minorEastAsia" w:hAnsi="Times New Roman" w:cs="Times New Roman"/>
          <w:sz w:val="28"/>
          <w:szCs w:val="28"/>
        </w:rPr>
        <w:t>се състои от:</w:t>
      </w:r>
    </w:p>
    <w:p w:rsidR="00C56F7E" w:rsidRDefault="00D01DED" w:rsidP="00C56F7E">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Прилагане на натоварвания от околната среда на степени, докато продуктът даде отказ</w:t>
      </w:r>
    </w:p>
    <w:p w:rsidR="00D01DED" w:rsidRDefault="00D01DED" w:rsidP="00C56F7E">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Правене на временна смяна за отстраняване на повредата</w:t>
      </w:r>
    </w:p>
    <w:p w:rsidR="00D01DED" w:rsidRDefault="00D01DED" w:rsidP="00C56F7E">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Постепенно увеличаване на натоварването по-нататък докато продуктът откаже отново и след това ремонт</w:t>
      </w:r>
    </w:p>
    <w:p w:rsidR="00D01DED" w:rsidRDefault="00D01DED" w:rsidP="00C56F7E">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Повтаряне на процесът натоварване-отказ-ремонт</w:t>
      </w:r>
    </w:p>
    <w:p w:rsidR="00D01DED" w:rsidRDefault="00D01DED" w:rsidP="00C56F7E">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Намиране на основните граници на работа и унищожение на продукта</w:t>
      </w:r>
    </w:p>
    <w:p w:rsidR="00D01DED" w:rsidRDefault="00D01DED" w:rsidP="004B092E">
      <w:pPr>
        <w:spacing w:after="0"/>
        <w:ind w:firstLine="705"/>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lang w:val="en-US"/>
        </w:rPr>
        <w:t xml:space="preserve">HASS </w:t>
      </w:r>
      <w:r>
        <w:rPr>
          <w:rFonts w:ascii="Times New Roman" w:eastAsiaTheme="minorEastAsia" w:hAnsi="Times New Roman" w:cs="Times New Roman"/>
          <w:sz w:val="28"/>
          <w:szCs w:val="28"/>
        </w:rPr>
        <w:t>се изпълнява на фаза производство</w:t>
      </w:r>
      <w:r w:rsidR="004B092E">
        <w:rPr>
          <w:rFonts w:ascii="Times New Roman" w:eastAsiaTheme="minorEastAsia" w:hAnsi="Times New Roman" w:cs="Times New Roman"/>
          <w:sz w:val="28"/>
          <w:szCs w:val="28"/>
        </w:rPr>
        <w:t xml:space="preserve">, за да потвърди, че всички надеждностни подобрения, направени в </w:t>
      </w:r>
      <w:r w:rsidR="004B092E">
        <w:rPr>
          <w:rFonts w:ascii="Times New Roman" w:eastAsiaTheme="minorEastAsia" w:hAnsi="Times New Roman" w:cs="Times New Roman"/>
          <w:sz w:val="28"/>
          <w:szCs w:val="28"/>
          <w:lang w:val="en-US"/>
        </w:rPr>
        <w:t xml:space="preserve">HALT </w:t>
      </w:r>
      <w:r w:rsidR="004B092E">
        <w:rPr>
          <w:rFonts w:ascii="Times New Roman" w:eastAsiaTheme="minorEastAsia" w:hAnsi="Times New Roman" w:cs="Times New Roman"/>
          <w:sz w:val="28"/>
          <w:szCs w:val="28"/>
        </w:rPr>
        <w:t>са запазени.</w:t>
      </w:r>
      <w:proofErr w:type="gramEnd"/>
      <w:r w:rsidR="004B092E">
        <w:rPr>
          <w:rFonts w:ascii="Times New Roman" w:eastAsiaTheme="minorEastAsia" w:hAnsi="Times New Roman" w:cs="Times New Roman"/>
          <w:sz w:val="28"/>
          <w:szCs w:val="28"/>
        </w:rPr>
        <w:t xml:space="preserve"> Той потвърждава, че никакви дефекти не са внесени поради вариации в производствения процес и търговските части. Състои се от следното:</w:t>
      </w:r>
    </w:p>
    <w:p w:rsidR="004B092E" w:rsidRDefault="004B092E" w:rsidP="004B092E">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Ускорен тест за превръщане на скрити дефекти в явни дефекти.</w:t>
      </w:r>
    </w:p>
    <w:p w:rsidR="004B092E" w:rsidRDefault="004B092E" w:rsidP="004B092E">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Тест за откриване на явни дефекти</w:t>
      </w:r>
    </w:p>
    <w:p w:rsidR="004B092E" w:rsidRDefault="004B092E" w:rsidP="004B092E">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Анализ на отказите</w:t>
      </w:r>
    </w:p>
    <w:p w:rsidR="004B092E" w:rsidRDefault="004B092E" w:rsidP="004B092E">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Действия за отстраняване на дефектите</w:t>
      </w:r>
    </w:p>
    <w:p w:rsidR="00AB6CE7" w:rsidRDefault="00AB6CE7" w:rsidP="00AB6CE7">
      <w:pPr>
        <w:spacing w:after="0"/>
        <w:ind w:left="705"/>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Границите на ускорените тестове и тези за откриване на дефекти на</w:t>
      </w:r>
      <w:r>
        <w:rPr>
          <w:rFonts w:ascii="Times New Roman" w:eastAsiaTheme="minorEastAsia" w:hAnsi="Times New Roman" w:cs="Times New Roman"/>
          <w:sz w:val="28"/>
          <w:szCs w:val="28"/>
          <w:lang w:val="en-US"/>
        </w:rPr>
        <w:t xml:space="preserve"> </w:t>
      </w:r>
    </w:p>
    <w:p w:rsidR="00AB6CE7" w:rsidRPr="00953843" w:rsidRDefault="00C67ACE" w:rsidP="00AB6CE7">
      <w:pPr>
        <w:spacing w:after="0"/>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bg-BG"/>
        </w:rPr>
        <w:drawing>
          <wp:anchor distT="0" distB="0" distL="114300" distR="114300" simplePos="0" relativeHeight="251658240" behindDoc="1" locked="0" layoutInCell="1" allowOverlap="1">
            <wp:simplePos x="0" y="0"/>
            <wp:positionH relativeFrom="column">
              <wp:posOffset>757555</wp:posOffset>
            </wp:positionH>
            <wp:positionV relativeFrom="paragraph">
              <wp:posOffset>1179195</wp:posOffset>
            </wp:positionV>
            <wp:extent cx="4295775" cy="2190750"/>
            <wp:effectExtent l="19050" t="0" r="9525" b="0"/>
            <wp:wrapTight wrapText="bothSides">
              <wp:wrapPolygon edited="0">
                <wp:start x="-96" y="0"/>
                <wp:lineTo x="-96" y="21412"/>
                <wp:lineTo x="21648" y="21412"/>
                <wp:lineTo x="21648" y="0"/>
                <wp:lineTo x="-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95775" cy="2190750"/>
                    </a:xfrm>
                    <a:prstGeom prst="rect">
                      <a:avLst/>
                    </a:prstGeom>
                    <a:noFill/>
                    <a:ln w="9525">
                      <a:noFill/>
                      <a:miter lim="800000"/>
                      <a:headEnd/>
                      <a:tailEnd/>
                    </a:ln>
                  </pic:spPr>
                </pic:pic>
              </a:graphicData>
            </a:graphic>
          </wp:anchor>
        </w:drawing>
      </w:r>
      <w:r w:rsidR="00AB6CE7">
        <w:rPr>
          <w:rFonts w:ascii="Times New Roman" w:eastAsiaTheme="minorEastAsia" w:hAnsi="Times New Roman" w:cs="Times New Roman"/>
          <w:sz w:val="28"/>
          <w:szCs w:val="28"/>
          <w:lang w:val="en-US"/>
        </w:rPr>
        <w:t xml:space="preserve">HASS </w:t>
      </w:r>
      <w:r w:rsidR="00AB6CE7">
        <w:rPr>
          <w:rFonts w:ascii="Times New Roman" w:eastAsiaTheme="minorEastAsia" w:hAnsi="Times New Roman" w:cs="Times New Roman"/>
          <w:sz w:val="28"/>
          <w:szCs w:val="28"/>
        </w:rPr>
        <w:t xml:space="preserve">са основани на резултатите от </w:t>
      </w:r>
      <w:r w:rsidR="00AB6CE7">
        <w:rPr>
          <w:rFonts w:ascii="Times New Roman" w:eastAsiaTheme="minorEastAsia" w:hAnsi="Times New Roman" w:cs="Times New Roman"/>
          <w:sz w:val="28"/>
          <w:szCs w:val="28"/>
          <w:lang w:val="en-US"/>
        </w:rPr>
        <w:t xml:space="preserve">HALT. </w:t>
      </w:r>
      <w:r w:rsidR="00953843">
        <w:rPr>
          <w:rFonts w:ascii="Times New Roman" w:eastAsiaTheme="minorEastAsia" w:hAnsi="Times New Roman" w:cs="Times New Roman"/>
          <w:sz w:val="28"/>
          <w:szCs w:val="28"/>
        </w:rPr>
        <w:t>Обикновено, ускорен</w:t>
      </w:r>
      <w:r>
        <w:rPr>
          <w:rFonts w:ascii="Times New Roman" w:eastAsiaTheme="minorEastAsia" w:hAnsi="Times New Roman" w:cs="Times New Roman"/>
          <w:sz w:val="28"/>
          <w:szCs w:val="28"/>
        </w:rPr>
        <w:t>о</w:t>
      </w:r>
      <w:r w:rsidR="00953843">
        <w:rPr>
          <w:rFonts w:ascii="Times New Roman" w:eastAsiaTheme="minorEastAsia" w:hAnsi="Times New Roman" w:cs="Times New Roman"/>
          <w:sz w:val="28"/>
          <w:szCs w:val="28"/>
        </w:rPr>
        <w:t>-тестови</w:t>
      </w:r>
      <w:r>
        <w:rPr>
          <w:rFonts w:ascii="Times New Roman" w:eastAsiaTheme="minorEastAsia" w:hAnsi="Times New Roman" w:cs="Times New Roman"/>
          <w:sz w:val="28"/>
          <w:szCs w:val="28"/>
        </w:rPr>
        <w:t>те</w:t>
      </w:r>
      <w:r w:rsidR="00953843">
        <w:rPr>
          <w:rFonts w:ascii="Times New Roman" w:eastAsiaTheme="minorEastAsia" w:hAnsi="Times New Roman" w:cs="Times New Roman"/>
          <w:sz w:val="28"/>
          <w:szCs w:val="28"/>
        </w:rPr>
        <w:t xml:space="preserve"> граници се намират между работните граници</w:t>
      </w:r>
      <w:r>
        <w:rPr>
          <w:rFonts w:ascii="Times New Roman" w:eastAsiaTheme="minorEastAsia" w:hAnsi="Times New Roman" w:cs="Times New Roman"/>
          <w:sz w:val="28"/>
          <w:szCs w:val="28"/>
        </w:rPr>
        <w:t xml:space="preserve"> и тези на унищожение, а границите на тестовете за откриване на дефекти са между границите на спецификациите и границите на работа, както е показано на фигурата.</w:t>
      </w:r>
      <w:r>
        <w:rPr>
          <w:rFonts w:ascii="Times New Roman" w:eastAsiaTheme="minorEastAsia" w:hAnsi="Times New Roman" w:cs="Times New Roman"/>
          <w:sz w:val="28"/>
          <w:szCs w:val="28"/>
        </w:rPr>
        <w:br/>
      </w:r>
    </w:p>
    <w:p w:rsidR="00C56F7E" w:rsidRDefault="00C56F7E" w:rsidP="00F505C2">
      <w:pPr>
        <w:spacing w:after="0"/>
        <w:rPr>
          <w:rFonts w:ascii="Times New Roman" w:eastAsiaTheme="minorEastAsia" w:hAnsi="Times New Roman" w:cs="Times New Roman"/>
          <w:sz w:val="28"/>
          <w:szCs w:val="28"/>
        </w:rPr>
      </w:pPr>
    </w:p>
    <w:p w:rsidR="00C67ACE" w:rsidRDefault="00C67ACE" w:rsidP="00F505C2">
      <w:pPr>
        <w:spacing w:after="0"/>
        <w:rPr>
          <w:rFonts w:ascii="Times New Roman" w:eastAsiaTheme="minorEastAsia" w:hAnsi="Times New Roman" w:cs="Times New Roman"/>
          <w:sz w:val="28"/>
          <w:szCs w:val="28"/>
        </w:rPr>
      </w:pPr>
    </w:p>
    <w:p w:rsidR="00C67ACE" w:rsidRDefault="00C67ACE" w:rsidP="00F505C2">
      <w:pPr>
        <w:spacing w:after="0"/>
        <w:rPr>
          <w:rFonts w:ascii="Times New Roman" w:eastAsiaTheme="minorEastAsia" w:hAnsi="Times New Roman" w:cs="Times New Roman"/>
          <w:sz w:val="28"/>
          <w:szCs w:val="28"/>
        </w:rPr>
      </w:pPr>
    </w:p>
    <w:p w:rsidR="00C67ACE" w:rsidRDefault="00C67ACE" w:rsidP="00F505C2">
      <w:pPr>
        <w:spacing w:after="0"/>
        <w:rPr>
          <w:rFonts w:ascii="Times New Roman" w:eastAsiaTheme="minorEastAsia" w:hAnsi="Times New Roman" w:cs="Times New Roman"/>
          <w:sz w:val="28"/>
          <w:szCs w:val="28"/>
        </w:rPr>
      </w:pPr>
    </w:p>
    <w:p w:rsidR="00C67ACE" w:rsidRDefault="00C67ACE" w:rsidP="00F505C2">
      <w:pPr>
        <w:spacing w:after="0"/>
        <w:rPr>
          <w:rFonts w:ascii="Times New Roman" w:eastAsiaTheme="minorEastAsia" w:hAnsi="Times New Roman" w:cs="Times New Roman"/>
          <w:sz w:val="28"/>
          <w:szCs w:val="28"/>
        </w:rPr>
      </w:pPr>
    </w:p>
    <w:p w:rsidR="00C67ACE" w:rsidRDefault="00C67ACE" w:rsidP="00F505C2">
      <w:pPr>
        <w:spacing w:after="0"/>
        <w:rPr>
          <w:rFonts w:ascii="Times New Roman" w:eastAsiaTheme="minorEastAsia" w:hAnsi="Times New Roman" w:cs="Times New Roman"/>
          <w:sz w:val="28"/>
          <w:szCs w:val="28"/>
        </w:rPr>
      </w:pPr>
    </w:p>
    <w:p w:rsidR="00C67ACE" w:rsidRDefault="00C67ACE" w:rsidP="00F505C2">
      <w:pPr>
        <w:spacing w:after="0"/>
        <w:rPr>
          <w:rFonts w:ascii="Times New Roman" w:eastAsiaTheme="minorEastAsia" w:hAnsi="Times New Roman" w:cs="Times New Roman"/>
          <w:sz w:val="28"/>
          <w:szCs w:val="28"/>
        </w:rPr>
      </w:pPr>
    </w:p>
    <w:p w:rsidR="00C67ACE" w:rsidRDefault="00C67ACE" w:rsidP="00F505C2">
      <w:pPr>
        <w:spacing w:after="0"/>
        <w:rPr>
          <w:rFonts w:ascii="Times New Roman" w:eastAsiaTheme="minorEastAsia" w:hAnsi="Times New Roman" w:cs="Times New Roman"/>
          <w:sz w:val="28"/>
          <w:szCs w:val="28"/>
        </w:rPr>
      </w:pPr>
    </w:p>
    <w:p w:rsidR="00C67ACE" w:rsidRDefault="00C67ACE" w:rsidP="00F505C2">
      <w:pPr>
        <w:spacing w:after="0"/>
        <w:rPr>
          <w:rFonts w:ascii="Times New Roman" w:eastAsiaTheme="minorEastAsia" w:hAnsi="Times New Roman" w:cs="Times New Roman"/>
          <w:sz w:val="28"/>
          <w:szCs w:val="28"/>
        </w:rPr>
      </w:pPr>
    </w:p>
    <w:p w:rsidR="00C67ACE" w:rsidRDefault="00C67ACE" w:rsidP="00F505C2">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roofErr w:type="gramStart"/>
      <w:r>
        <w:rPr>
          <w:rFonts w:ascii="Times New Roman" w:eastAsiaTheme="minorEastAsia" w:hAnsi="Times New Roman" w:cs="Times New Roman"/>
          <w:sz w:val="28"/>
          <w:szCs w:val="28"/>
          <w:lang w:val="en-US"/>
        </w:rPr>
        <w:t xml:space="preserve">HALT/HASS </w:t>
      </w:r>
      <w:r>
        <w:rPr>
          <w:rFonts w:ascii="Times New Roman" w:eastAsiaTheme="minorEastAsia" w:hAnsi="Times New Roman" w:cs="Times New Roman"/>
          <w:sz w:val="28"/>
          <w:szCs w:val="28"/>
        </w:rPr>
        <w:t>се е доказал в намирането на скрити дефекти, които много вероятно биха се ускорили при употреба от крайния потребител, предизвиквайки отказ на продукта.</w:t>
      </w:r>
      <w:proofErr w:type="gramEnd"/>
      <w:r>
        <w:rPr>
          <w:rFonts w:ascii="Times New Roman" w:eastAsiaTheme="minorEastAsia" w:hAnsi="Times New Roman" w:cs="Times New Roman"/>
          <w:sz w:val="28"/>
          <w:szCs w:val="28"/>
        </w:rPr>
        <w:t xml:space="preserve"> В резултат </w:t>
      </w:r>
      <w:r>
        <w:rPr>
          <w:rFonts w:ascii="Times New Roman" w:eastAsiaTheme="minorEastAsia" w:hAnsi="Times New Roman" w:cs="Times New Roman"/>
          <w:sz w:val="28"/>
          <w:szCs w:val="28"/>
          <w:lang w:val="en-US"/>
        </w:rPr>
        <w:t>HALT/HASS</w:t>
      </w:r>
      <w:r>
        <w:rPr>
          <w:rFonts w:ascii="Times New Roman" w:eastAsiaTheme="minorEastAsia" w:hAnsi="Times New Roman" w:cs="Times New Roman"/>
          <w:sz w:val="28"/>
          <w:szCs w:val="28"/>
        </w:rPr>
        <w:t xml:space="preserve"> процесът може ефективно да увеличи надеждността на продукта.</w:t>
      </w:r>
    </w:p>
    <w:p w:rsidR="00C67ACE" w:rsidRDefault="00C67ACE" w:rsidP="00F505C2">
      <w:pPr>
        <w:spacing w:after="0"/>
        <w:rPr>
          <w:rFonts w:ascii="Times New Roman" w:eastAsiaTheme="minorEastAsia" w:hAnsi="Times New Roman" w:cs="Times New Roman"/>
          <w:sz w:val="28"/>
          <w:szCs w:val="28"/>
        </w:rPr>
      </w:pPr>
    </w:p>
    <w:p w:rsidR="00C67ACE" w:rsidRDefault="00A94D08" w:rsidP="00F505C2">
      <w:pPr>
        <w:spacing w:after="0"/>
        <w:rPr>
          <w:rFonts w:ascii="Times New Roman" w:hAnsi="Times New Roman" w:cs="Times New Roman"/>
          <w:sz w:val="28"/>
          <w:szCs w:val="28"/>
        </w:rPr>
      </w:pPr>
      <w:r>
        <w:rPr>
          <w:rFonts w:ascii="Times New Roman" w:eastAsiaTheme="minorEastAsia" w:hAnsi="Times New Roman" w:cs="Times New Roman"/>
          <w:sz w:val="28"/>
          <w:szCs w:val="28"/>
        </w:rPr>
        <w:t>1</w:t>
      </w:r>
      <w:r w:rsidR="00C67ACE">
        <w:rPr>
          <w:rFonts w:ascii="Times New Roman" w:eastAsiaTheme="minorEastAsia" w:hAnsi="Times New Roman" w:cs="Times New Roman"/>
          <w:sz w:val="28"/>
          <w:szCs w:val="28"/>
        </w:rPr>
        <w:t>.1.</w:t>
      </w:r>
      <w:r w:rsidR="009B088F">
        <w:rPr>
          <w:rFonts w:ascii="Times New Roman" w:eastAsiaTheme="minorEastAsia" w:hAnsi="Times New Roman" w:cs="Times New Roman"/>
          <w:sz w:val="28"/>
          <w:szCs w:val="28"/>
        </w:rPr>
        <w:t>3</w:t>
      </w:r>
      <w:r w:rsidR="00C67ACE">
        <w:rPr>
          <w:rFonts w:ascii="Times New Roman" w:eastAsiaTheme="minorEastAsia" w:hAnsi="Times New Roman" w:cs="Times New Roman"/>
          <w:sz w:val="28"/>
          <w:szCs w:val="28"/>
        </w:rPr>
        <w:t xml:space="preserve">. Защо </w:t>
      </w:r>
      <w:r w:rsidR="00C67ACE">
        <w:rPr>
          <w:rFonts w:ascii="Times New Roman" w:hAnsi="Times New Roman" w:cs="Times New Roman"/>
          <w:sz w:val="28"/>
          <w:szCs w:val="28"/>
          <w:lang w:val="en-US"/>
        </w:rPr>
        <w:t>MIL-HDBK-21</w:t>
      </w:r>
      <w:r w:rsidR="00C67ACE">
        <w:rPr>
          <w:rFonts w:ascii="Times New Roman" w:hAnsi="Times New Roman" w:cs="Times New Roman"/>
          <w:sz w:val="28"/>
          <w:szCs w:val="28"/>
        </w:rPr>
        <w:t xml:space="preserve">7 </w:t>
      </w:r>
      <w:r w:rsidR="00E938B1">
        <w:rPr>
          <w:rFonts w:ascii="Times New Roman" w:hAnsi="Times New Roman" w:cs="Times New Roman"/>
          <w:sz w:val="28"/>
          <w:szCs w:val="28"/>
        </w:rPr>
        <w:t>дава неточни прогнози</w:t>
      </w:r>
    </w:p>
    <w:p w:rsidR="00E938B1" w:rsidRDefault="00E938B1" w:rsidP="00F505C2">
      <w:pPr>
        <w:spacing w:after="0"/>
        <w:rPr>
          <w:rFonts w:ascii="Times New Roman" w:hAnsi="Times New Roman" w:cs="Times New Roman"/>
          <w:sz w:val="28"/>
          <w:szCs w:val="28"/>
        </w:rPr>
      </w:pPr>
      <w:r>
        <w:rPr>
          <w:rFonts w:ascii="Times New Roman" w:hAnsi="Times New Roman" w:cs="Times New Roman"/>
          <w:sz w:val="28"/>
          <w:szCs w:val="28"/>
        </w:rPr>
        <w:tab/>
        <w:t xml:space="preserve">Техниките за прогнозиране описани в </w:t>
      </w:r>
      <w:r>
        <w:rPr>
          <w:rFonts w:ascii="Times New Roman" w:hAnsi="Times New Roman" w:cs="Times New Roman"/>
          <w:sz w:val="28"/>
          <w:szCs w:val="28"/>
          <w:lang w:val="en-US"/>
        </w:rPr>
        <w:t>MIL-HDBK-21</w:t>
      </w:r>
      <w:r>
        <w:rPr>
          <w:rFonts w:ascii="Times New Roman" w:hAnsi="Times New Roman" w:cs="Times New Roman"/>
          <w:sz w:val="28"/>
          <w:szCs w:val="28"/>
        </w:rPr>
        <w:t>7 за оценяване на надеждността на дадена система се основават на уравнението на Архениус, един експоненциален температурно-зависим израз. Но много модели на откази в реалния живот не следват това уравнение.</w:t>
      </w:r>
    </w:p>
    <w:p w:rsidR="00E938B1" w:rsidRDefault="00E938B1" w:rsidP="00F505C2">
      <w:pPr>
        <w:spacing w:after="0"/>
        <w:rPr>
          <w:rFonts w:ascii="Times New Roman" w:hAnsi="Times New Roman" w:cs="Times New Roman"/>
          <w:sz w:val="28"/>
          <w:szCs w:val="28"/>
        </w:rPr>
      </w:pPr>
      <w:r>
        <w:rPr>
          <w:rFonts w:ascii="Times New Roman" w:hAnsi="Times New Roman" w:cs="Times New Roman"/>
          <w:sz w:val="28"/>
          <w:szCs w:val="28"/>
        </w:rPr>
        <w:lastRenderedPageBreak/>
        <w:tab/>
        <w:t xml:space="preserve">Например, механични вибрации и удар, влажност, циклите на включване/изключване, </w:t>
      </w:r>
      <w:r>
        <w:rPr>
          <w:rFonts w:ascii="Times New Roman" w:hAnsi="Times New Roman" w:cs="Times New Roman"/>
          <w:sz w:val="28"/>
          <w:szCs w:val="28"/>
          <w:lang w:val="en-US"/>
        </w:rPr>
        <w:t xml:space="preserve">ESD, </w:t>
      </w:r>
      <w:r>
        <w:rPr>
          <w:rFonts w:ascii="Times New Roman" w:hAnsi="Times New Roman" w:cs="Times New Roman"/>
          <w:sz w:val="28"/>
          <w:szCs w:val="28"/>
        </w:rPr>
        <w:t xml:space="preserve">и диелектрични пробиви, всички независещи от температурата, са чести причини за отказ. Дори някои температурно зависими натоварвания като </w:t>
      </w:r>
      <w:r w:rsidR="00C04207">
        <w:rPr>
          <w:rFonts w:ascii="Times New Roman" w:hAnsi="Times New Roman" w:cs="Times New Roman"/>
          <w:sz w:val="28"/>
          <w:szCs w:val="28"/>
        </w:rPr>
        <w:t>циклична смяна на температурата и термален шок биха довели до откази, които не следват уравнението на Архениус.</w:t>
      </w:r>
    </w:p>
    <w:p w:rsidR="00C04207" w:rsidRDefault="00A94D08" w:rsidP="00F505C2">
      <w:pPr>
        <w:spacing w:after="0"/>
        <w:rPr>
          <w:rFonts w:ascii="Times New Roman" w:eastAsiaTheme="minorEastAsia" w:hAnsi="Times New Roman" w:cs="Times New Roman"/>
          <w:sz w:val="28"/>
          <w:szCs w:val="28"/>
        </w:rPr>
      </w:pPr>
      <w:r>
        <w:rPr>
          <w:rFonts w:ascii="Times New Roman" w:hAnsi="Times New Roman" w:cs="Times New Roman"/>
          <w:noProof/>
          <w:sz w:val="28"/>
          <w:szCs w:val="28"/>
          <w:lang w:eastAsia="bg-BG"/>
        </w:rPr>
        <w:drawing>
          <wp:anchor distT="0" distB="0" distL="114300" distR="114300" simplePos="0" relativeHeight="251659264" behindDoc="1" locked="0" layoutInCell="1" allowOverlap="1">
            <wp:simplePos x="0" y="0"/>
            <wp:positionH relativeFrom="column">
              <wp:posOffset>938530</wp:posOffset>
            </wp:positionH>
            <wp:positionV relativeFrom="paragraph">
              <wp:posOffset>1271905</wp:posOffset>
            </wp:positionV>
            <wp:extent cx="3762375" cy="2628900"/>
            <wp:effectExtent l="19050" t="0" r="9525" b="0"/>
            <wp:wrapTight wrapText="bothSides">
              <wp:wrapPolygon edited="0">
                <wp:start x="-109" y="0"/>
                <wp:lineTo x="-109" y="21443"/>
                <wp:lineTo x="21655" y="21443"/>
                <wp:lineTo x="21655" y="0"/>
                <wp:lineTo x="-109" y="0"/>
              </wp:wrapPolygon>
            </wp:wrapTight>
            <wp:docPr id="2" name="Picture 1" descr="cha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bmp"/>
                    <pic:cNvPicPr/>
                  </pic:nvPicPr>
                  <pic:blipFill>
                    <a:blip r:embed="rId6"/>
                    <a:stretch>
                      <a:fillRect/>
                    </a:stretch>
                  </pic:blipFill>
                  <pic:spPr>
                    <a:xfrm>
                      <a:off x="0" y="0"/>
                      <a:ext cx="3762375" cy="2628900"/>
                    </a:xfrm>
                    <a:prstGeom prst="rect">
                      <a:avLst/>
                    </a:prstGeom>
                  </pic:spPr>
                </pic:pic>
              </a:graphicData>
            </a:graphic>
          </wp:anchor>
        </w:drawing>
      </w:r>
      <w:r w:rsidR="00C04207">
        <w:rPr>
          <w:rFonts w:ascii="Times New Roman" w:hAnsi="Times New Roman" w:cs="Times New Roman"/>
          <w:sz w:val="28"/>
          <w:szCs w:val="28"/>
        </w:rPr>
        <w:tab/>
        <w:t xml:space="preserve">Още по-важно, надеждността на компонентите в много електронни системи се повишава. Следователно отказите на компоненти вече не представляват основна причина за отказ на системата.Въпреки това моделът </w:t>
      </w:r>
      <w:r w:rsidR="00C04207">
        <w:rPr>
          <w:rFonts w:ascii="Times New Roman" w:hAnsi="Times New Roman" w:cs="Times New Roman"/>
          <w:sz w:val="28"/>
          <w:szCs w:val="28"/>
          <w:lang w:val="en-US"/>
        </w:rPr>
        <w:t>MIL-HDBK-21</w:t>
      </w:r>
      <w:r w:rsidR="00C04207">
        <w:rPr>
          <w:rFonts w:ascii="Times New Roman" w:hAnsi="Times New Roman" w:cs="Times New Roman"/>
          <w:sz w:val="28"/>
          <w:szCs w:val="28"/>
        </w:rPr>
        <w:t xml:space="preserve">7 все още ни казва как да прогнозираме надеждността на системата, основавайки се </w:t>
      </w:r>
      <w:r w:rsidR="00D63C01">
        <w:rPr>
          <w:rFonts w:ascii="Times New Roman" w:hAnsi="Times New Roman" w:cs="Times New Roman"/>
          <w:sz w:val="28"/>
          <w:szCs w:val="28"/>
        </w:rPr>
        <w:t xml:space="preserve">на </w:t>
      </w:r>
      <w:r w:rsidR="00C04207">
        <w:rPr>
          <w:rFonts w:ascii="Times New Roman" w:hAnsi="Times New Roman" w:cs="Times New Roman"/>
          <w:sz w:val="28"/>
          <w:szCs w:val="28"/>
        </w:rPr>
        <w:t>данни за отказите на частите.</w:t>
      </w:r>
      <w:r w:rsidR="00D63C01">
        <w:rPr>
          <w:rFonts w:ascii="Times New Roman" w:hAnsi="Times New Roman" w:cs="Times New Roman"/>
          <w:sz w:val="28"/>
          <w:szCs w:val="28"/>
        </w:rPr>
        <w:br/>
      </w: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p>
    <w:p w:rsidR="00D63C01" w:rsidRDefault="00D63C01" w:rsidP="00F505C2">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Фигурата илюстрира номиналното процентно разпределение на отказите, които могат да се припишат на всеки от осемте преобладаващи причини за отказ, основавайки са на данните, събрани от Центъра за анализ на надеждността. Определенията на осемте причини за отказ от фигурата са както следва:</w:t>
      </w:r>
    </w:p>
    <w:p w:rsidR="00D63C01" w:rsidRDefault="00D63C01" w:rsidP="00D63C01">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Части – 22%: Части, неуспяващи да изпълняват функциите, за които са предназначени.</w:t>
      </w:r>
    </w:p>
    <w:p w:rsidR="00D63C01" w:rsidRDefault="00D63C01" w:rsidP="00D63C01">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Дизайн – 9%: Неадекватен дизайн</w:t>
      </w:r>
    </w:p>
    <w:p w:rsidR="00D63C01" w:rsidRDefault="00D63C01" w:rsidP="00D63C01">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Производство – 15%: Аномалии в производствения процес</w:t>
      </w:r>
    </w:p>
    <w:p w:rsidR="00D63C01" w:rsidRDefault="00D63C01" w:rsidP="00D63C01">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Системен мениджмънт – 4%</w:t>
      </w:r>
      <w:r w:rsidR="0037529E">
        <w:rPr>
          <w:rFonts w:ascii="Times New Roman" w:eastAsiaTheme="minorEastAsia" w:hAnsi="Times New Roman" w:cs="Times New Roman"/>
          <w:sz w:val="28"/>
          <w:szCs w:val="28"/>
        </w:rPr>
        <w:t>: Провал при интерпретиране на изискванията на системата</w:t>
      </w:r>
    </w:p>
    <w:p w:rsidR="0037529E" w:rsidRDefault="0037529E" w:rsidP="00D63C01">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Износване – 9%: Механизми на отказ, свързани с износване</w:t>
      </w:r>
    </w:p>
    <w:p w:rsidR="0037529E" w:rsidRDefault="0037529E" w:rsidP="00D63C01">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Без дефект – 20%: Възприети откази, които не могат да се възпроизведат при тестване. Тези откази могат да бъдат или да не </w:t>
      </w:r>
      <w:r>
        <w:rPr>
          <w:rFonts w:ascii="Times New Roman" w:eastAsiaTheme="minorEastAsia" w:hAnsi="Times New Roman" w:cs="Times New Roman"/>
          <w:sz w:val="28"/>
          <w:szCs w:val="28"/>
        </w:rPr>
        <w:lastRenderedPageBreak/>
        <w:t>бъдат истински откази; въпреки това те се отстраняват и се числят към логистичните темпове на отказ.</w:t>
      </w:r>
    </w:p>
    <w:p w:rsidR="0037529E" w:rsidRDefault="0037529E" w:rsidP="00D63C01">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Предизвикани – 12%: Външно приложено натоварване</w:t>
      </w:r>
    </w:p>
    <w:p w:rsidR="0063759C" w:rsidRDefault="0037529E" w:rsidP="0063759C">
      <w:pPr>
        <w:pStyle w:val="ListParagraph"/>
        <w:numPr>
          <w:ilvl w:val="0"/>
          <w:numId w:val="1"/>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Софтуер – 9%: Неуспех в изпълнението на очакваната функция, дължащ се на проблем във софтуера.</w:t>
      </w:r>
    </w:p>
    <w:p w:rsidR="00A1520B" w:rsidRDefault="0063759C" w:rsidP="0063759C">
      <w:pPr>
        <w:spacing w:after="0"/>
        <w:ind w:left="705"/>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 да се илюстрира несъответств</w:t>
      </w:r>
      <w:r w:rsidR="00A1520B">
        <w:rPr>
          <w:rFonts w:ascii="Times New Roman" w:eastAsiaTheme="minorEastAsia" w:hAnsi="Times New Roman" w:cs="Times New Roman"/>
          <w:sz w:val="28"/>
          <w:szCs w:val="28"/>
        </w:rPr>
        <w:t>ието се взима предвид следното:</w:t>
      </w:r>
    </w:p>
    <w:p w:rsidR="0063759C" w:rsidRDefault="00A1520B" w:rsidP="00A1520B">
      <w:pPr>
        <w:spacing w:after="0"/>
        <w:rPr>
          <w:rFonts w:ascii="Times New Roman" w:hAnsi="Times New Roman" w:cs="Times New Roman"/>
          <w:sz w:val="28"/>
          <w:szCs w:val="28"/>
        </w:rPr>
      </w:pPr>
      <w:r>
        <w:rPr>
          <w:rFonts w:ascii="Times New Roman" w:eastAsiaTheme="minorEastAsia" w:hAnsi="Times New Roman" w:cs="Times New Roman"/>
          <w:sz w:val="28"/>
          <w:szCs w:val="28"/>
        </w:rPr>
        <w:t>П</w:t>
      </w:r>
      <w:r w:rsidR="0063759C">
        <w:rPr>
          <w:rFonts w:ascii="Times New Roman" w:eastAsiaTheme="minorEastAsia" w:hAnsi="Times New Roman" w:cs="Times New Roman"/>
          <w:sz w:val="28"/>
          <w:szCs w:val="28"/>
        </w:rPr>
        <w:t>латка, съдържаща 338 компонента</w:t>
      </w:r>
      <w:r w:rsidR="00E85585">
        <w:rPr>
          <w:rFonts w:ascii="Times New Roman" w:eastAsiaTheme="minorEastAsia" w:hAnsi="Times New Roman" w:cs="Times New Roman"/>
          <w:sz w:val="28"/>
          <w:szCs w:val="28"/>
        </w:rPr>
        <w:t xml:space="preserve"> от 6 компонентни типа се използва в мобилна радио система. Нивото на отказ според прогноза на </w:t>
      </w:r>
      <w:r w:rsidR="00E85585">
        <w:rPr>
          <w:rFonts w:ascii="Times New Roman" w:hAnsi="Times New Roman" w:cs="Times New Roman"/>
          <w:sz w:val="28"/>
          <w:szCs w:val="28"/>
          <w:lang w:val="en-US"/>
        </w:rPr>
        <w:t>MIL-HDBK-21</w:t>
      </w:r>
      <w:r w:rsidR="00E85585">
        <w:rPr>
          <w:rFonts w:ascii="Times New Roman" w:hAnsi="Times New Roman" w:cs="Times New Roman"/>
          <w:sz w:val="28"/>
          <w:szCs w:val="28"/>
        </w:rPr>
        <w:t xml:space="preserve">7 е 1,934 отказа за милион часа, както е показано в таблицата по-долу. Реалната работа на платката, обаче, показва 19 отказа за общо време на работа от 4 444 696 часа, в резултат на което нивото на откази е 4,274 отказа за милион часа. Разликата от 2,34 отказа за милион часа не е покрита от прогнозата на </w:t>
      </w:r>
      <w:r w:rsidR="00E85585">
        <w:rPr>
          <w:rFonts w:ascii="Times New Roman" w:hAnsi="Times New Roman" w:cs="Times New Roman"/>
          <w:sz w:val="28"/>
          <w:szCs w:val="28"/>
          <w:lang w:val="en-US"/>
        </w:rPr>
        <w:t>MIL-HDBK-21</w:t>
      </w:r>
      <w:r w:rsidR="00E85585">
        <w:rPr>
          <w:rFonts w:ascii="Times New Roman" w:hAnsi="Times New Roman" w:cs="Times New Roman"/>
          <w:sz w:val="28"/>
          <w:szCs w:val="28"/>
        </w:rPr>
        <w:t>7.</w:t>
      </w:r>
      <w:r w:rsidR="00E85585">
        <w:rPr>
          <w:rFonts w:ascii="Times New Roman" w:hAnsi="Times New Roman" w:cs="Times New Roman"/>
          <w:sz w:val="28"/>
          <w:szCs w:val="28"/>
        </w:rPr>
        <w:br/>
      </w:r>
      <w:r w:rsidR="00E85585">
        <w:rPr>
          <w:rFonts w:ascii="Times New Roman" w:eastAsiaTheme="minorEastAsia" w:hAnsi="Times New Roman" w:cs="Times New Roman"/>
          <w:noProof/>
          <w:sz w:val="28"/>
          <w:szCs w:val="28"/>
          <w:lang w:eastAsia="bg-BG"/>
        </w:rPr>
        <w:drawing>
          <wp:anchor distT="0" distB="0" distL="114300" distR="114300" simplePos="0" relativeHeight="251660288" behindDoc="1" locked="0" layoutInCell="1" allowOverlap="1">
            <wp:simplePos x="0" y="0"/>
            <wp:positionH relativeFrom="column">
              <wp:posOffset>62230</wp:posOffset>
            </wp:positionH>
            <wp:positionV relativeFrom="paragraph">
              <wp:posOffset>938530</wp:posOffset>
            </wp:positionV>
            <wp:extent cx="5762625" cy="809625"/>
            <wp:effectExtent l="19050" t="0" r="9525" b="0"/>
            <wp:wrapTight wrapText="bothSides">
              <wp:wrapPolygon edited="0">
                <wp:start x="-71" y="0"/>
                <wp:lineTo x="-71" y="21346"/>
                <wp:lineTo x="21636" y="21346"/>
                <wp:lineTo x="21636" y="0"/>
                <wp:lineTo x="-71" y="0"/>
              </wp:wrapPolygon>
            </wp:wrapTight>
            <wp:docPr id="4" name="Picture 3" descr="tab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bmp"/>
                    <pic:cNvPicPr/>
                  </pic:nvPicPr>
                  <pic:blipFill>
                    <a:blip r:embed="rId7"/>
                    <a:stretch>
                      <a:fillRect/>
                    </a:stretch>
                  </pic:blipFill>
                  <pic:spPr>
                    <a:xfrm>
                      <a:off x="0" y="0"/>
                      <a:ext cx="5762625" cy="809625"/>
                    </a:xfrm>
                    <a:prstGeom prst="rect">
                      <a:avLst/>
                    </a:prstGeom>
                  </pic:spPr>
                </pic:pic>
              </a:graphicData>
            </a:graphic>
          </wp:anchor>
        </w:drawing>
      </w:r>
      <w:r>
        <w:rPr>
          <w:rFonts w:ascii="Times New Roman" w:hAnsi="Times New Roman" w:cs="Times New Roman"/>
          <w:sz w:val="28"/>
          <w:szCs w:val="28"/>
        </w:rPr>
        <w:tab/>
        <w:t xml:space="preserve">Всъщност много реални откази са предизвикани от непредвидими фактори, което често се превръща в основен проблем в днешните електронни системи. Но тези непредвидими причини могат успешно да бъдат ускорени, открити и отстранени по време на </w:t>
      </w:r>
      <w:r>
        <w:rPr>
          <w:rFonts w:ascii="Times New Roman" w:hAnsi="Times New Roman" w:cs="Times New Roman"/>
          <w:sz w:val="28"/>
          <w:szCs w:val="28"/>
          <w:lang w:val="en-US"/>
        </w:rPr>
        <w:t xml:space="preserve">HALT/HASS </w:t>
      </w:r>
      <w:r>
        <w:rPr>
          <w:rFonts w:ascii="Times New Roman" w:hAnsi="Times New Roman" w:cs="Times New Roman"/>
          <w:sz w:val="28"/>
          <w:szCs w:val="28"/>
        </w:rPr>
        <w:t>процес.</w:t>
      </w:r>
      <w:r>
        <w:rPr>
          <w:rFonts w:ascii="Times New Roman" w:hAnsi="Times New Roman" w:cs="Times New Roman"/>
          <w:sz w:val="28"/>
          <w:szCs w:val="28"/>
        </w:rPr>
        <w:br/>
      </w:r>
      <w:r>
        <w:rPr>
          <w:rFonts w:ascii="Times New Roman" w:hAnsi="Times New Roman" w:cs="Times New Roman"/>
          <w:sz w:val="28"/>
          <w:szCs w:val="28"/>
        </w:rPr>
        <w:br/>
      </w:r>
      <w:r w:rsidR="000F2D91">
        <w:rPr>
          <w:rFonts w:ascii="Times New Roman" w:hAnsi="Times New Roman" w:cs="Times New Roman"/>
          <w:sz w:val="28"/>
          <w:szCs w:val="28"/>
        </w:rPr>
        <w:t>1</w:t>
      </w:r>
      <w:r>
        <w:rPr>
          <w:rFonts w:ascii="Times New Roman" w:hAnsi="Times New Roman" w:cs="Times New Roman"/>
          <w:sz w:val="28"/>
          <w:szCs w:val="28"/>
        </w:rPr>
        <w:t>.1.4. Заключение</w:t>
      </w:r>
      <w:r>
        <w:rPr>
          <w:rFonts w:ascii="Times New Roman" w:hAnsi="Times New Roman" w:cs="Times New Roman"/>
          <w:sz w:val="28"/>
          <w:szCs w:val="28"/>
        </w:rPr>
        <w:br/>
        <w:t>Преди да се направи прогноза за надеждността трябва да сме сигурни в една от следните две точки:</w:t>
      </w:r>
      <w:r>
        <w:rPr>
          <w:rFonts w:ascii="Times New Roman" w:hAnsi="Times New Roman" w:cs="Times New Roman"/>
          <w:sz w:val="28"/>
          <w:szCs w:val="28"/>
        </w:rPr>
        <w:br/>
      </w:r>
      <w:r>
        <w:rPr>
          <w:rFonts w:ascii="Times New Roman" w:hAnsi="Times New Roman" w:cs="Times New Roman"/>
          <w:sz w:val="28"/>
          <w:szCs w:val="28"/>
        </w:rPr>
        <w:tab/>
        <w:t>1. Моделите на отказ описани в прогнозния модел отговарят за по-голямата част откази на системата. Ако не, отиваме към точка 2.</w:t>
      </w:r>
    </w:p>
    <w:p w:rsidR="00A1520B" w:rsidRPr="00A1520B" w:rsidRDefault="00A1520B" w:rsidP="00A1520B">
      <w:pPr>
        <w:spacing w:after="0"/>
        <w:rPr>
          <w:rFonts w:ascii="Times New Roman" w:eastAsiaTheme="minorEastAsia" w:hAnsi="Times New Roman" w:cs="Times New Roman"/>
          <w:sz w:val="28"/>
          <w:szCs w:val="28"/>
          <w:lang w:val="en-US"/>
        </w:rPr>
      </w:pPr>
      <w:r>
        <w:rPr>
          <w:rFonts w:ascii="Times New Roman" w:hAnsi="Times New Roman" w:cs="Times New Roman"/>
          <w:sz w:val="28"/>
          <w:szCs w:val="28"/>
        </w:rPr>
        <w:tab/>
        <w:t xml:space="preserve">2. Прогноза се прави след намаляване на непредвидимите дефекти чрез изпълнение на </w:t>
      </w:r>
      <w:r>
        <w:rPr>
          <w:rFonts w:ascii="Times New Roman" w:hAnsi="Times New Roman" w:cs="Times New Roman"/>
          <w:sz w:val="28"/>
          <w:szCs w:val="28"/>
          <w:lang w:val="en-US"/>
        </w:rPr>
        <w:t>HALT/HASS.</w:t>
      </w:r>
    </w:p>
    <w:sectPr w:rsidR="00A1520B" w:rsidRPr="00A1520B" w:rsidSect="00666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424E7"/>
    <w:multiLevelType w:val="hybridMultilevel"/>
    <w:tmpl w:val="F9B4F402"/>
    <w:lvl w:ilvl="0" w:tplc="F3C2F59C">
      <w:start w:val="3"/>
      <w:numFmt w:val="bullet"/>
      <w:lvlText w:val=""/>
      <w:lvlJc w:val="left"/>
      <w:pPr>
        <w:ind w:left="1065" w:hanging="360"/>
      </w:pPr>
      <w:rPr>
        <w:rFonts w:ascii="Symbol" w:eastAsiaTheme="minorHAnsi" w:hAnsi="Symbol"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46DA"/>
    <w:rsid w:val="000146DA"/>
    <w:rsid w:val="000E0924"/>
    <w:rsid w:val="000F2D91"/>
    <w:rsid w:val="00132E20"/>
    <w:rsid w:val="00182DBF"/>
    <w:rsid w:val="001B54FB"/>
    <w:rsid w:val="00351C47"/>
    <w:rsid w:val="0037529E"/>
    <w:rsid w:val="00405B42"/>
    <w:rsid w:val="004B092E"/>
    <w:rsid w:val="005D171F"/>
    <w:rsid w:val="0063759C"/>
    <w:rsid w:val="00666596"/>
    <w:rsid w:val="006F6666"/>
    <w:rsid w:val="00722B13"/>
    <w:rsid w:val="008509A9"/>
    <w:rsid w:val="00953843"/>
    <w:rsid w:val="009859EC"/>
    <w:rsid w:val="00994BE4"/>
    <w:rsid w:val="009B088F"/>
    <w:rsid w:val="00A1520B"/>
    <w:rsid w:val="00A8627A"/>
    <w:rsid w:val="00A94D08"/>
    <w:rsid w:val="00AB6CE7"/>
    <w:rsid w:val="00B2458D"/>
    <w:rsid w:val="00C04207"/>
    <w:rsid w:val="00C56F7E"/>
    <w:rsid w:val="00C67ACE"/>
    <w:rsid w:val="00D01DED"/>
    <w:rsid w:val="00D63C01"/>
    <w:rsid w:val="00DB3991"/>
    <w:rsid w:val="00DF3D93"/>
    <w:rsid w:val="00E85585"/>
    <w:rsid w:val="00E938B1"/>
    <w:rsid w:val="00F505C2"/>
    <w:rsid w:val="00F94E5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58D"/>
    <w:pPr>
      <w:ind w:left="720"/>
      <w:contextualSpacing/>
    </w:pPr>
  </w:style>
  <w:style w:type="character" w:styleId="PlaceholderText">
    <w:name w:val="Placeholder Text"/>
    <w:basedOn w:val="DefaultParagraphFont"/>
    <w:uiPriority w:val="99"/>
    <w:semiHidden/>
    <w:rsid w:val="00F505C2"/>
    <w:rPr>
      <w:color w:val="808080"/>
    </w:rPr>
  </w:style>
  <w:style w:type="paragraph" w:styleId="BalloonText">
    <w:name w:val="Balloon Text"/>
    <w:basedOn w:val="Normal"/>
    <w:link w:val="BalloonTextChar"/>
    <w:uiPriority w:val="99"/>
    <w:semiHidden/>
    <w:unhideWhenUsed/>
    <w:rsid w:val="00F50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5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Simo</cp:lastModifiedBy>
  <cp:revision>8</cp:revision>
  <dcterms:created xsi:type="dcterms:W3CDTF">2010-05-08T18:57:00Z</dcterms:created>
  <dcterms:modified xsi:type="dcterms:W3CDTF">2010-05-08T19:19:00Z</dcterms:modified>
</cp:coreProperties>
</file>