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Най-новият ембедед процесор от АРМ създаден специално за пазари за цифрова обработка, които изискват ефективни, лесни за използване и контролиране възжможности за обработка на сигнали.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Той съдържа в себе си комбинация от висока ефективност  при обработка на сигнали и ниска консумация, ниска цена.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848100" cx="4933950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3848100" cx="49339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Съдържа Floating Point Unit ( обработка на числа с плаваща запетая)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FPU: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32 битови инструкции за голяма точност (C-float) операции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Combined Multiply (Комбинирано умножение ).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Хардуерно конвертиране, събиране,изваждане умножение деление и корен квадратен.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Cortex-M4.docx</dc:title>
</cp:coreProperties>
</file>