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5C0" w:rsidRDefault="00FA35C0" w:rsidP="00FA35C0">
      <w:pPr>
        <w:jc w:val="center"/>
        <w:rPr>
          <w:rFonts w:asciiTheme="majorHAnsi" w:hAnsiTheme="majorHAnsi"/>
          <w:noProof/>
          <w:sz w:val="28"/>
          <w:szCs w:val="28"/>
          <w:vertAlign w:val="superscript"/>
        </w:rPr>
      </w:pPr>
      <w:r>
        <w:rPr>
          <w:rFonts w:asciiTheme="majorHAnsi" w:hAnsiTheme="majorHAnsi"/>
          <w:noProof/>
          <w:sz w:val="28"/>
          <w:szCs w:val="28"/>
        </w:rPr>
        <w:t xml:space="preserve">Съединения </w:t>
      </w:r>
      <w:r w:rsidRPr="00FA35C0">
        <w:rPr>
          <w:rFonts w:asciiTheme="majorHAnsi" w:hAnsiTheme="majorHAnsi"/>
          <w:noProof/>
          <w:sz w:val="28"/>
          <w:szCs w:val="28"/>
        </w:rPr>
        <w:t>A</w:t>
      </w:r>
      <w:r w:rsidRPr="00FA35C0">
        <w:rPr>
          <w:rFonts w:asciiTheme="majorHAnsi" w:hAnsiTheme="majorHAnsi"/>
          <w:noProof/>
          <w:sz w:val="28"/>
          <w:szCs w:val="28"/>
          <w:vertAlign w:val="superscript"/>
        </w:rPr>
        <w:t>II</w:t>
      </w:r>
      <w:r w:rsidRPr="00FA35C0">
        <w:rPr>
          <w:rFonts w:asciiTheme="majorHAnsi" w:hAnsiTheme="majorHAnsi"/>
          <w:noProof/>
          <w:sz w:val="28"/>
          <w:szCs w:val="28"/>
        </w:rPr>
        <w:t>B</w:t>
      </w:r>
      <w:r w:rsidRPr="00FA35C0">
        <w:rPr>
          <w:rFonts w:asciiTheme="majorHAnsi" w:hAnsiTheme="majorHAnsi"/>
          <w:noProof/>
          <w:sz w:val="28"/>
          <w:szCs w:val="28"/>
          <w:vertAlign w:val="superscript"/>
        </w:rPr>
        <w:t>IV</w:t>
      </w:r>
    </w:p>
    <w:p w:rsidR="00FA35C0" w:rsidRPr="00FA35C0" w:rsidRDefault="00FA35C0" w:rsidP="00FA35C0">
      <w:pPr>
        <w:jc w:val="center"/>
        <w:rPr>
          <w:rFonts w:asciiTheme="majorHAnsi" w:hAnsiTheme="majorHAnsi"/>
          <w:noProof/>
          <w:sz w:val="28"/>
          <w:szCs w:val="28"/>
          <w:lang w:val="bg-BG"/>
        </w:rPr>
      </w:pPr>
    </w:p>
    <w:p w:rsidR="00976872" w:rsidRDefault="00FA35C0" w:rsidP="00FA35C0">
      <w:pPr>
        <w:rPr>
          <w:rFonts w:cstheme="minorHAnsi"/>
          <w:noProof/>
          <w:sz w:val="24"/>
          <w:szCs w:val="24"/>
        </w:rPr>
      </w:pPr>
      <w:r w:rsidRPr="00FA35C0">
        <w:rPr>
          <w:rFonts w:cstheme="minorHAnsi"/>
          <w:noProof/>
          <w:sz w:val="24"/>
          <w:szCs w:val="24"/>
        </w:rPr>
        <w:t>Полупроводниковите съединения, които се изразяват като A</w:t>
      </w:r>
      <w:r>
        <w:rPr>
          <w:rFonts w:cstheme="minorHAnsi"/>
          <w:noProof/>
          <w:sz w:val="24"/>
          <w:szCs w:val="24"/>
        </w:rPr>
        <w:t>II BIV</w:t>
      </w:r>
      <w:r w:rsidRPr="00FA35C0">
        <w:rPr>
          <w:rFonts w:cstheme="minorHAnsi"/>
          <w:noProof/>
          <w:sz w:val="24"/>
          <w:szCs w:val="24"/>
        </w:rPr>
        <w:t>, състоят от елементите от II и IV група на периодичната система на Менделеев. Това са CdS, CdSe, CdTe, Zn</w:t>
      </w:r>
      <w:r>
        <w:rPr>
          <w:rFonts w:cstheme="minorHAnsi"/>
          <w:noProof/>
          <w:sz w:val="24"/>
          <w:szCs w:val="24"/>
        </w:rPr>
        <w:t>S, ZnSe, ZnTe, HgS, HgSe, HgTe</w:t>
      </w:r>
      <w:r w:rsidRPr="00FA35C0">
        <w:rPr>
          <w:rFonts w:cstheme="minorHAnsi"/>
          <w:noProof/>
          <w:sz w:val="24"/>
          <w:szCs w:val="24"/>
        </w:rPr>
        <w:t>. Тези съединения са с предимно ковалентна химична връзк</w:t>
      </w:r>
      <w:r>
        <w:rPr>
          <w:rFonts w:cstheme="minorHAnsi"/>
          <w:noProof/>
          <w:sz w:val="24"/>
          <w:szCs w:val="24"/>
        </w:rPr>
        <w:t xml:space="preserve">а и </w:t>
      </w:r>
      <w:r>
        <w:rPr>
          <w:rFonts w:cstheme="minorHAnsi"/>
          <w:noProof/>
          <w:sz w:val="24"/>
          <w:szCs w:val="24"/>
          <w:lang w:val="bg-BG"/>
        </w:rPr>
        <w:t>диа</w:t>
      </w:r>
      <w:r w:rsidRPr="00FA35C0">
        <w:rPr>
          <w:rFonts w:cstheme="minorHAnsi"/>
          <w:noProof/>
          <w:sz w:val="24"/>
          <w:szCs w:val="24"/>
        </w:rPr>
        <w:t>мантеноподобна кристална структура. Параметрите им се изменят икономерно като функция от молекулната маса. С нарастването на молекулната маса температурите на топене се понижават, ширината на бранената зона намалява, а плътността и подвижността на токовите носи</w:t>
      </w:r>
      <w:r>
        <w:rPr>
          <w:rFonts w:cstheme="minorHAnsi"/>
          <w:noProof/>
          <w:sz w:val="24"/>
          <w:szCs w:val="24"/>
        </w:rPr>
        <w:t xml:space="preserve">тели нарастват. За разлика от </w:t>
      </w:r>
      <w:r>
        <w:rPr>
          <w:rFonts w:cstheme="minorHAnsi"/>
          <w:noProof/>
          <w:sz w:val="24"/>
          <w:szCs w:val="24"/>
          <w:lang w:val="bg-BG"/>
        </w:rPr>
        <w:t>А</w:t>
      </w:r>
      <w:r w:rsidRPr="00FA35C0">
        <w:rPr>
          <w:rFonts w:cstheme="minorHAnsi"/>
          <w:noProof/>
          <w:sz w:val="24"/>
          <w:szCs w:val="24"/>
          <w:vertAlign w:val="superscript"/>
        </w:rPr>
        <w:t>II</w:t>
      </w:r>
      <w:r>
        <w:rPr>
          <w:rFonts w:cstheme="minorHAnsi"/>
          <w:noProof/>
          <w:sz w:val="24"/>
          <w:szCs w:val="24"/>
        </w:rPr>
        <w:t>В</w:t>
      </w:r>
      <w:r w:rsidRPr="00FA35C0">
        <w:rPr>
          <w:rFonts w:cstheme="minorHAnsi"/>
          <w:noProof/>
          <w:sz w:val="24"/>
          <w:szCs w:val="24"/>
          <w:vertAlign w:val="superscript"/>
        </w:rPr>
        <w:t>VI</w:t>
      </w:r>
      <w:r w:rsidRPr="00FA35C0">
        <w:rPr>
          <w:rFonts w:cstheme="minorHAnsi"/>
          <w:noProof/>
          <w:sz w:val="24"/>
          <w:szCs w:val="24"/>
        </w:rPr>
        <w:t xml:space="preserve"> съединеният</w:t>
      </w:r>
      <w:r>
        <w:rPr>
          <w:rFonts w:cstheme="minorHAnsi"/>
          <w:noProof/>
          <w:sz w:val="24"/>
          <w:szCs w:val="24"/>
        </w:rPr>
        <w:t>а при термичната жсоциация на A</w:t>
      </w:r>
      <w:r w:rsidRPr="00FA35C0">
        <w:rPr>
          <w:rFonts w:cstheme="minorHAnsi"/>
          <w:noProof/>
          <w:sz w:val="24"/>
          <w:szCs w:val="24"/>
          <w:vertAlign w:val="superscript"/>
        </w:rPr>
        <w:t>II</w:t>
      </w:r>
      <w:r w:rsidRPr="00FA35C0">
        <w:rPr>
          <w:rFonts w:cstheme="minorHAnsi"/>
          <w:noProof/>
          <w:sz w:val="24"/>
          <w:szCs w:val="24"/>
        </w:rPr>
        <w:t>B</w:t>
      </w:r>
      <w:r w:rsidRPr="00FA35C0">
        <w:rPr>
          <w:rFonts w:cstheme="minorHAnsi"/>
          <w:noProof/>
          <w:sz w:val="24"/>
          <w:szCs w:val="24"/>
          <w:vertAlign w:val="superscript"/>
        </w:rPr>
        <w:t>V</w:t>
      </w:r>
      <w:r w:rsidRPr="00FA35C0">
        <w:rPr>
          <w:rFonts w:cstheme="minorHAnsi"/>
          <w:noProof/>
          <w:sz w:val="24"/>
          <w:szCs w:val="24"/>
        </w:rPr>
        <w:t xml:space="preserve"> се изпаряват и двата компонента. Температурата</w:t>
      </w:r>
      <w:r>
        <w:rPr>
          <w:rFonts w:cstheme="minorHAnsi"/>
          <w:noProof/>
          <w:sz w:val="24"/>
          <w:szCs w:val="24"/>
        </w:rPr>
        <w:t xml:space="preserve"> на топене на съединенията A</w:t>
      </w:r>
      <w:r w:rsidRPr="00FA35C0">
        <w:rPr>
          <w:rFonts w:cstheme="minorHAnsi"/>
          <w:noProof/>
          <w:sz w:val="24"/>
          <w:szCs w:val="24"/>
          <w:vertAlign w:val="superscript"/>
        </w:rPr>
        <w:t>II</w:t>
      </w:r>
      <w:r>
        <w:rPr>
          <w:rFonts w:cstheme="minorHAnsi"/>
          <w:noProof/>
          <w:sz w:val="24"/>
          <w:szCs w:val="24"/>
        </w:rPr>
        <w:t>B</w:t>
      </w:r>
      <w:r w:rsidRPr="00FA35C0">
        <w:rPr>
          <w:rFonts w:cstheme="minorHAnsi"/>
          <w:noProof/>
          <w:sz w:val="24"/>
          <w:szCs w:val="24"/>
          <w:vertAlign w:val="superscript"/>
        </w:rPr>
        <w:t>IV</w:t>
      </w:r>
      <w:r w:rsidRPr="00FA35C0">
        <w:rPr>
          <w:rFonts w:cstheme="minorHAnsi"/>
          <w:noProof/>
          <w:sz w:val="24"/>
          <w:szCs w:val="24"/>
        </w:rPr>
        <w:t xml:space="preserve"> е висока и за повечето от тях е до </w:t>
      </w:r>
      <w:r>
        <w:rPr>
          <w:rFonts w:cstheme="minorHAnsi"/>
          <w:noProof/>
          <w:sz w:val="24"/>
          <w:szCs w:val="24"/>
        </w:rPr>
        <w:t>2000</w:t>
      </w:r>
      <w:r w:rsidRPr="00FA35C0">
        <w:rPr>
          <w:rFonts w:cstheme="minorHAnsi"/>
          <w:noProof/>
          <w:sz w:val="24"/>
          <w:szCs w:val="24"/>
        </w:rPr>
        <w:t>°С. Свойствата на тези съединения са доста разнообразни, някои от тях са дадени в таблица 4.2.</w:t>
      </w:r>
    </w:p>
    <w:p w:rsidR="00FA35C0" w:rsidRDefault="00FA35C0" w:rsidP="00FA35C0">
      <w:pPr>
        <w:rPr>
          <w:rFonts w:cstheme="minorHAnsi"/>
          <w:noProof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5325110" cy="2312670"/>
            <wp:effectExtent l="1905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110" cy="2312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5C0" w:rsidRDefault="00FA35C0" w:rsidP="00FA35C0">
      <w:pPr>
        <w:rPr>
          <w:rFonts w:cstheme="minorHAnsi"/>
          <w:noProof/>
          <w:sz w:val="24"/>
          <w:szCs w:val="24"/>
        </w:rPr>
      </w:pPr>
      <w:r w:rsidRPr="00FA35C0">
        <w:rPr>
          <w:rFonts w:cstheme="minorHAnsi"/>
          <w:noProof/>
          <w:sz w:val="24"/>
          <w:szCs w:val="24"/>
        </w:rPr>
        <w:t>Характерно за съединенията A"B</w:t>
      </w:r>
      <w:r w:rsidRPr="00FA35C0">
        <w:rPr>
          <w:rFonts w:cstheme="minorHAnsi"/>
          <w:noProof/>
          <w:sz w:val="24"/>
          <w:szCs w:val="24"/>
          <w:vertAlign w:val="superscript"/>
        </w:rPr>
        <w:t>VI</w:t>
      </w:r>
      <w:r w:rsidRPr="00FA35C0">
        <w:rPr>
          <w:rFonts w:cstheme="minorHAnsi"/>
          <w:noProof/>
          <w:sz w:val="24"/>
          <w:szCs w:val="24"/>
        </w:rPr>
        <w:t xml:space="preserve"> е това, че максимумът на спектралната им чувствителност може да се измества в зависимост от легирането и технологичните фактори при изготвяне на тези материали. Те се използуват основно като индикатори за различни излъчвания в тънкослоен вид и като пресовани таблети. Едно от тези съединения — ZnS, като електролуминофор се използува в конструирането на микроелектронни елементи и е разгледан отделно в раздел 5.4. Като материали за носители в микроелектрониката особено внимание през последните години се отделя и на твърдите разтвори на гези съединения. Защо са интересни твърдите разтвори?</w:t>
      </w:r>
    </w:p>
    <w:p w:rsidR="00FA35C0" w:rsidRDefault="00FA35C0" w:rsidP="00FA35C0">
      <w:pPr>
        <w:rPr>
          <w:rFonts w:cstheme="minorHAnsi"/>
          <w:noProof/>
          <w:sz w:val="24"/>
          <w:szCs w:val="24"/>
        </w:rPr>
      </w:pPr>
    </w:p>
    <w:p w:rsidR="00FA35C0" w:rsidRDefault="00FA35C0" w:rsidP="00FA35C0">
      <w:pPr>
        <w:rPr>
          <w:rFonts w:cstheme="minorHAnsi"/>
          <w:noProof/>
          <w:sz w:val="24"/>
          <w:szCs w:val="24"/>
          <w:lang w:val="bg-BG"/>
        </w:rPr>
      </w:pPr>
    </w:p>
    <w:p w:rsidR="00F51CC2" w:rsidRDefault="00F51CC2" w:rsidP="00FA35C0">
      <w:pPr>
        <w:rPr>
          <w:rFonts w:cstheme="minorHAnsi"/>
          <w:noProof/>
          <w:sz w:val="24"/>
          <w:szCs w:val="24"/>
          <w:lang w:val="bg-BG"/>
        </w:rPr>
      </w:pPr>
    </w:p>
    <w:p w:rsidR="00F51CC2" w:rsidRPr="00F51CC2" w:rsidRDefault="00F51CC2" w:rsidP="00FA35C0">
      <w:pPr>
        <w:rPr>
          <w:rFonts w:cstheme="minorHAnsi"/>
          <w:noProof/>
          <w:sz w:val="24"/>
          <w:szCs w:val="24"/>
          <w:lang w:val="bg-BG"/>
        </w:rPr>
      </w:pPr>
    </w:p>
    <w:p w:rsidR="00FA35C0" w:rsidRPr="00FA35C0" w:rsidRDefault="00FA35C0" w:rsidP="00FA35C0">
      <w:pPr>
        <w:numPr>
          <w:ilvl w:val="0"/>
          <w:numId w:val="1"/>
        </w:numPr>
        <w:rPr>
          <w:rFonts w:cstheme="minorHAnsi"/>
          <w:noProof/>
          <w:sz w:val="24"/>
          <w:szCs w:val="24"/>
        </w:rPr>
      </w:pPr>
      <w:r w:rsidRPr="00FA35C0">
        <w:rPr>
          <w:rFonts w:cstheme="minorHAnsi"/>
          <w:noProof/>
          <w:sz w:val="24"/>
          <w:szCs w:val="24"/>
        </w:rPr>
        <w:lastRenderedPageBreak/>
        <w:t>Чрез тях е възможно непрекъснато изменение на основните параметри на веществата в широки предели.</w:t>
      </w:r>
    </w:p>
    <w:p w:rsidR="00FA35C0" w:rsidRPr="00FA35C0" w:rsidRDefault="00FA35C0" w:rsidP="00FA35C0">
      <w:pPr>
        <w:numPr>
          <w:ilvl w:val="0"/>
          <w:numId w:val="1"/>
        </w:numPr>
        <w:rPr>
          <w:rFonts w:cstheme="minorHAnsi"/>
          <w:noProof/>
          <w:sz w:val="24"/>
          <w:szCs w:val="24"/>
        </w:rPr>
      </w:pPr>
      <w:r w:rsidRPr="00FA35C0">
        <w:rPr>
          <w:rFonts w:cstheme="minorHAnsi"/>
          <w:noProof/>
          <w:sz w:val="24"/>
          <w:szCs w:val="24"/>
        </w:rPr>
        <w:t>Твърдите разтвори от съединенията A"B</w:t>
      </w:r>
      <w:r w:rsidRPr="00FA35C0">
        <w:rPr>
          <w:rFonts w:cstheme="minorHAnsi"/>
          <w:noProof/>
          <w:sz w:val="24"/>
          <w:szCs w:val="24"/>
          <w:vertAlign w:val="superscript"/>
        </w:rPr>
        <w:t>I</w:t>
      </w:r>
      <w:r>
        <w:rPr>
          <w:rFonts w:cstheme="minorHAnsi"/>
          <w:noProof/>
          <w:sz w:val="24"/>
          <w:szCs w:val="24"/>
          <w:vertAlign w:val="superscript"/>
        </w:rPr>
        <w:t>V</w:t>
      </w:r>
      <w:r w:rsidRPr="00FA35C0">
        <w:rPr>
          <w:rFonts w:cstheme="minorHAnsi"/>
          <w:noProof/>
          <w:sz w:val="24"/>
          <w:szCs w:val="24"/>
        </w:rPr>
        <w:t xml:space="preserve"> позволяват да се разшири кръгът от материали, за които е възможно инверсия в типа на проводимост. Изследването на тези разтвори има голямо значение освен за физиката на полупроводниците и изучаването на нови ефекти, така и за практическото приложение във военната и космическата техника. Например: един от най-изучаваните и практически използувани твърди разтвори е кадмиево-живачният телурид Cd</w:t>
      </w:r>
      <w:r w:rsidRPr="00FA35C0">
        <w:rPr>
          <w:rFonts w:cstheme="minorHAnsi"/>
          <w:noProof/>
          <w:sz w:val="24"/>
          <w:szCs w:val="24"/>
          <w:vertAlign w:val="subscript"/>
        </w:rPr>
        <w:t>x</w:t>
      </w:r>
      <w:r w:rsidRPr="00FA35C0">
        <w:rPr>
          <w:rFonts w:cstheme="minorHAnsi"/>
          <w:noProof/>
          <w:sz w:val="24"/>
          <w:szCs w:val="24"/>
        </w:rPr>
        <w:t xml:space="preserve">Hg,. </w:t>
      </w:r>
      <w:r w:rsidRPr="00FA35C0">
        <w:rPr>
          <w:rFonts w:cstheme="minorHAnsi"/>
          <w:noProof/>
          <w:sz w:val="24"/>
          <w:szCs w:val="24"/>
          <w:vertAlign w:val="subscript"/>
        </w:rPr>
        <w:t>х</w:t>
      </w:r>
      <w:r w:rsidRPr="00FA35C0">
        <w:rPr>
          <w:rFonts w:cstheme="minorHAnsi"/>
          <w:noProof/>
          <w:sz w:val="24"/>
          <w:szCs w:val="24"/>
        </w:rPr>
        <w:t>Те. Първите кристали от този материал са синтезирани на борда на космическата лаборатория "Салют 6".</w:t>
      </w:r>
    </w:p>
    <w:p w:rsidR="00FA35C0" w:rsidRPr="00FA35C0" w:rsidRDefault="00FA35C0" w:rsidP="00FA35C0">
      <w:pPr>
        <w:rPr>
          <w:rFonts w:cstheme="minorHAnsi"/>
          <w:noProof/>
          <w:sz w:val="24"/>
          <w:szCs w:val="24"/>
        </w:rPr>
      </w:pPr>
      <w:r w:rsidRPr="00FA35C0">
        <w:rPr>
          <w:rFonts w:cstheme="minorHAnsi"/>
          <w:noProof/>
          <w:sz w:val="24"/>
          <w:szCs w:val="24"/>
        </w:rPr>
        <w:t>В химическата формула на това съединение х може да заема стойности от 0 до 1. В зависимост от тази стойност ширината на забранената зона, а оттам и свойствата на материала се променят. Ширината на забранената зона може да варира от 0,23 до 0,61 eV, а подвижността на електроните 1,7 до 2,3.10</w:t>
      </w:r>
      <w:r w:rsidRPr="00FA35C0">
        <w:rPr>
          <w:rFonts w:cstheme="minorHAnsi"/>
          <w:noProof/>
          <w:sz w:val="24"/>
          <w:szCs w:val="24"/>
          <w:vertAlign w:val="superscript"/>
        </w:rPr>
        <w:t>5</w:t>
      </w:r>
      <w:r w:rsidRPr="00FA35C0">
        <w:rPr>
          <w:rFonts w:cstheme="minorHAnsi"/>
          <w:noProof/>
          <w:sz w:val="24"/>
          <w:szCs w:val="24"/>
        </w:rPr>
        <w:t xml:space="preserve"> cm/V.S. Cd</w:t>
      </w:r>
      <w:r w:rsidRPr="00FA35C0">
        <w:rPr>
          <w:rFonts w:cstheme="minorHAnsi"/>
          <w:noProof/>
          <w:sz w:val="24"/>
          <w:szCs w:val="24"/>
          <w:vertAlign w:val="subscript"/>
        </w:rPr>
        <w:t>x</w:t>
      </w:r>
      <w:r w:rsidRPr="00FA35C0">
        <w:rPr>
          <w:rFonts w:cstheme="minorHAnsi"/>
          <w:noProof/>
          <w:sz w:val="24"/>
          <w:szCs w:val="24"/>
        </w:rPr>
        <w:t>Hg</w:t>
      </w:r>
      <w:r w:rsidRPr="00FA35C0">
        <w:rPr>
          <w:rFonts w:cstheme="minorHAnsi"/>
          <w:noProof/>
          <w:sz w:val="24"/>
          <w:szCs w:val="24"/>
          <w:vertAlign w:val="subscript"/>
        </w:rPr>
        <w:t>1-x</w:t>
      </w:r>
      <w:r w:rsidRPr="00FA35C0">
        <w:rPr>
          <w:rFonts w:cstheme="minorHAnsi"/>
          <w:noProof/>
          <w:sz w:val="24"/>
          <w:szCs w:val="24"/>
        </w:rPr>
        <w:t>Te се използува за изработване на фотодиоди, фоторезистори, които покриват диапазона на инфрачервения светлинен спектър от 1 до 20 микрометъра. Такива прибори се произвеждат серийно и широко се използуват във военната техника — инфрачервени видикони, прибори на Хол, детектори на ядрено лъчение. Изходните елементи за синтез на Cd</w:t>
      </w:r>
      <w:r w:rsidRPr="00FA35C0">
        <w:rPr>
          <w:rFonts w:cstheme="minorHAnsi"/>
          <w:noProof/>
          <w:sz w:val="24"/>
          <w:szCs w:val="24"/>
          <w:vertAlign w:val="subscript"/>
        </w:rPr>
        <w:t>x</w:t>
      </w:r>
      <w:r w:rsidRPr="00FA35C0">
        <w:rPr>
          <w:rFonts w:cstheme="minorHAnsi"/>
          <w:noProof/>
          <w:sz w:val="24"/>
          <w:szCs w:val="24"/>
        </w:rPr>
        <w:t>Hg</w:t>
      </w:r>
      <w:r w:rsidRPr="00FA35C0">
        <w:rPr>
          <w:rFonts w:cstheme="minorHAnsi"/>
          <w:noProof/>
          <w:sz w:val="24"/>
          <w:szCs w:val="24"/>
          <w:vertAlign w:val="subscript"/>
        </w:rPr>
        <w:t>1-x</w:t>
      </w:r>
      <w:r w:rsidRPr="00FA35C0">
        <w:rPr>
          <w:rFonts w:cstheme="minorHAnsi"/>
          <w:noProof/>
          <w:sz w:val="24"/>
          <w:szCs w:val="24"/>
        </w:rPr>
        <w:t>Te трябва да бъдат с чистота по-голяма от 99,9999. За тази цел Cd и Те допълнително се очистват чрез зонно топене, a Hg - чрез дестилация. За получаване на монокристали се използува методът на Бриджмен и неговите варианти, но след това е необходимо допълнително отгряване, за да се получат приблизително еднакви електрофизични параметри. При температури на отгряване по-големи от 473 К и по-малки от 623 К образците имат минимална концентрация на примеси.</w:t>
      </w:r>
    </w:p>
    <w:p w:rsidR="00FA35C0" w:rsidRPr="00F51CC2" w:rsidRDefault="00FA35C0" w:rsidP="00FA35C0">
      <w:pPr>
        <w:rPr>
          <w:rFonts w:cstheme="minorHAnsi"/>
          <w:noProof/>
          <w:sz w:val="24"/>
          <w:szCs w:val="24"/>
          <w:lang w:val="bg-BG"/>
        </w:rPr>
      </w:pPr>
      <w:r w:rsidRPr="00FA35C0">
        <w:rPr>
          <w:rFonts w:cstheme="minorHAnsi"/>
          <w:noProof/>
          <w:sz w:val="24"/>
          <w:szCs w:val="24"/>
        </w:rPr>
        <w:t>Зависимостта на ширината на забранената зона от състава има линеен характер. Основните усилия на технолозите са насочени към повишаване процента на годен за прибори материал с еднородни параметри на голяма площ, за да се изготвят многоелементни 200 + 500 матрици от фотоприемници. За получаване на по-еднородни кристали израстването на монокристали се извършва с използуване на ултразвуково поле с определена интензивност. Друга система от непрекъснати твърди разтвори, която е сравнително добре изучена и намира практическо приложение, е ZnSe</w:t>
      </w:r>
      <w:r w:rsidRPr="00FA35C0">
        <w:rPr>
          <w:rFonts w:cstheme="minorHAnsi"/>
          <w:noProof/>
          <w:sz w:val="24"/>
          <w:szCs w:val="24"/>
          <w:vertAlign w:val="subscript"/>
        </w:rPr>
        <w:t>x</w:t>
      </w:r>
      <w:r w:rsidRPr="00FA35C0">
        <w:rPr>
          <w:rFonts w:cstheme="minorHAnsi"/>
          <w:noProof/>
          <w:sz w:val="24"/>
          <w:szCs w:val="24"/>
        </w:rPr>
        <w:t>Si.</w:t>
      </w:r>
      <w:r w:rsidRPr="00FA35C0">
        <w:rPr>
          <w:rFonts w:cstheme="minorHAnsi"/>
          <w:noProof/>
          <w:sz w:val="24"/>
          <w:szCs w:val="24"/>
          <w:vertAlign w:val="subscript"/>
        </w:rPr>
        <w:t>x</w:t>
      </w:r>
      <w:r w:rsidRPr="00FA35C0">
        <w:rPr>
          <w:rFonts w:cstheme="minorHAnsi"/>
          <w:noProof/>
          <w:sz w:val="24"/>
          <w:szCs w:val="24"/>
        </w:rPr>
        <w:t xml:space="preserve">. Диаграмата на състояние ZnS-ZnSe не е напълно построена. Този материал е перспективен за изработване на електролуминесцентни диоди в жълтозелената спектрална област. В тези кристали е наблюдаван лазерен ефект при възбуждане с електронен сноп. Зависимостта на параметрите на решетката, ширината на забранената зона и микротвърдостите от </w:t>
      </w:r>
      <w:r>
        <w:rPr>
          <w:rFonts w:cstheme="minorHAnsi"/>
          <w:noProof/>
          <w:sz w:val="24"/>
          <w:szCs w:val="24"/>
          <w:lang w:val="bg-BG"/>
        </w:rPr>
        <w:t>съ</w:t>
      </w:r>
      <w:r w:rsidRPr="00FA35C0">
        <w:rPr>
          <w:rFonts w:cstheme="minorHAnsi"/>
          <w:noProof/>
          <w:sz w:val="24"/>
          <w:szCs w:val="24"/>
        </w:rPr>
        <w:t xml:space="preserve">става е типична за системи, образуващи непрекъснат ред твърди разтвори. Така ширината на забранената зона има стойности от 3,15 до </w:t>
      </w:r>
      <w:r>
        <w:rPr>
          <w:rFonts w:cstheme="minorHAnsi"/>
          <w:noProof/>
          <w:sz w:val="24"/>
          <w:szCs w:val="24"/>
        </w:rPr>
        <w:t>3,</w:t>
      </w:r>
      <w:r w:rsidRPr="00FA35C0">
        <w:rPr>
          <w:rFonts w:cstheme="minorHAnsi"/>
          <w:noProof/>
          <w:sz w:val="24"/>
          <w:szCs w:val="24"/>
        </w:rPr>
        <w:t>41 eV за стойности на х от 0,40 до 0,20. От Zn Se</w:t>
      </w:r>
      <w:r w:rsidRPr="00FA35C0">
        <w:rPr>
          <w:rFonts w:cstheme="minorHAnsi"/>
          <w:noProof/>
          <w:sz w:val="24"/>
          <w:szCs w:val="24"/>
          <w:vertAlign w:val="subscript"/>
        </w:rPr>
        <w:t>x</w:t>
      </w:r>
      <w:r w:rsidRPr="00FA35C0">
        <w:rPr>
          <w:rFonts w:cstheme="minorHAnsi"/>
          <w:noProof/>
          <w:sz w:val="24"/>
          <w:szCs w:val="24"/>
        </w:rPr>
        <w:t>S</w:t>
      </w:r>
      <w:r w:rsidR="00F51CC2" w:rsidRPr="00F51CC2">
        <w:rPr>
          <w:rFonts w:cstheme="minorHAnsi"/>
          <w:noProof/>
          <w:sz w:val="24"/>
          <w:szCs w:val="24"/>
          <w:vertAlign w:val="subscript"/>
          <w:lang w:val="bg-BG"/>
        </w:rPr>
        <w:t>1-</w:t>
      </w:r>
      <w:r w:rsidRPr="00FA35C0">
        <w:rPr>
          <w:rFonts w:cstheme="minorHAnsi"/>
          <w:noProof/>
          <w:sz w:val="24"/>
          <w:szCs w:val="24"/>
          <w:vertAlign w:val="subscript"/>
        </w:rPr>
        <w:t>x</w:t>
      </w:r>
      <w:r w:rsidRPr="00FA35C0">
        <w:rPr>
          <w:rFonts w:cstheme="minorHAnsi"/>
          <w:noProof/>
          <w:sz w:val="24"/>
          <w:szCs w:val="24"/>
        </w:rPr>
        <w:t xml:space="preserve"> под налягане в иргонова среда при температура ~2170°С са получени монокристали.</w:t>
      </w:r>
    </w:p>
    <w:sectPr w:rsidR="00FA35C0" w:rsidRPr="00F51CC2" w:rsidSect="00F51CC2">
      <w:pgSz w:w="12240" w:h="15840"/>
      <w:pgMar w:top="1135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E09D6"/>
    <w:multiLevelType w:val="multilevel"/>
    <w:tmpl w:val="362226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A35C0"/>
    <w:rsid w:val="00976872"/>
    <w:rsid w:val="00F51CC2"/>
    <w:rsid w:val="00FA3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87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3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5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1</cp:revision>
  <dcterms:created xsi:type="dcterms:W3CDTF">2012-01-05T22:31:00Z</dcterms:created>
  <dcterms:modified xsi:type="dcterms:W3CDTF">2012-01-05T22:43:00Z</dcterms:modified>
</cp:coreProperties>
</file>