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5D7" w:rsidRPr="00B15714" w:rsidRDefault="005D2209" w:rsidP="005D2209">
      <w:pPr>
        <w:jc w:val="center"/>
        <w:rPr>
          <w:rFonts w:asciiTheme="majorHAnsi" w:hAnsiTheme="majorHAnsi"/>
          <w:noProof/>
          <w:sz w:val="28"/>
          <w:szCs w:val="28"/>
          <w:lang w:val="bg-BG"/>
        </w:rPr>
      </w:pPr>
      <w:r w:rsidRPr="00B15714">
        <w:rPr>
          <w:rFonts w:asciiTheme="majorHAnsi" w:hAnsiTheme="majorHAnsi"/>
          <w:noProof/>
          <w:sz w:val="28"/>
          <w:szCs w:val="28"/>
          <w:lang w:val="bg-BG"/>
        </w:rPr>
        <w:t>Кристализационни методи за пречистване. Варианти</w:t>
      </w:r>
    </w:p>
    <w:p w:rsidR="005D2209" w:rsidRPr="00B15714" w:rsidRDefault="005D2209" w:rsidP="005D2209">
      <w:pPr>
        <w:jc w:val="center"/>
        <w:rPr>
          <w:rFonts w:asciiTheme="majorHAnsi" w:hAnsiTheme="majorHAnsi"/>
          <w:noProof/>
          <w:sz w:val="28"/>
          <w:szCs w:val="28"/>
          <w:lang w:val="bg-BG"/>
        </w:rPr>
      </w:pPr>
    </w:p>
    <w:p w:rsidR="005D2209" w:rsidRPr="00B15714" w:rsidRDefault="009D435B" w:rsidP="005D2209">
      <w:pPr>
        <w:rPr>
          <w:rFonts w:cstheme="minorHAnsi"/>
          <w:noProof/>
          <w:sz w:val="24"/>
          <w:szCs w:val="24"/>
          <w:lang w:val="bg-BG"/>
        </w:rPr>
      </w:pPr>
      <w:r w:rsidRPr="00B15714">
        <w:rPr>
          <w:rFonts w:cstheme="minorHAnsi"/>
          <w:noProof/>
          <w:sz w:val="24"/>
          <w:szCs w:val="24"/>
          <w:lang w:val="bg-BG"/>
        </w:rPr>
        <w:t>Кристализация се нарича преходът на вещество от течно в твърдо кристално състояние. Кристализационните методи за очистване се базират на различната разтворимост на примесите с течна и твърда фаза. Кристализацията от стопилка широко се използва за очистване на полупороводниковите и диелектричните матеряли. Този метод се прилага в последния стадий на технологичния процес на очистване на веществата. Заедно с високата степен на очистване на материала от примеси се постига и необходимото съвършенство на кристалната структура ( физическа чистота), т.е. материалът се получава като високочист монокристал.</w:t>
      </w:r>
    </w:p>
    <w:p w:rsidR="009D435B" w:rsidRPr="00B15714" w:rsidRDefault="009D435B" w:rsidP="005D2209">
      <w:pPr>
        <w:rPr>
          <w:rFonts w:cstheme="minorHAnsi"/>
          <w:noProof/>
          <w:sz w:val="24"/>
          <w:szCs w:val="24"/>
          <w:lang w:val="bg-BG"/>
        </w:rPr>
      </w:pPr>
      <w:r w:rsidRPr="00B15714">
        <w:rPr>
          <w:rFonts w:cstheme="minorHAnsi"/>
          <w:noProof/>
          <w:sz w:val="24"/>
          <w:szCs w:val="24"/>
          <w:lang w:val="bg-BG"/>
        </w:rPr>
        <w:tab/>
        <w:t>За провеждане на кристализационно очистване е необходимо да се знае фазовата диаграма на веществото с присъстващите в него примеси.</w:t>
      </w:r>
    </w:p>
    <w:p w:rsidR="009D435B" w:rsidRPr="00B15714" w:rsidRDefault="009D435B" w:rsidP="005D2209">
      <w:pPr>
        <w:rPr>
          <w:rFonts w:cstheme="minorHAnsi"/>
          <w:noProof/>
          <w:sz w:val="24"/>
          <w:szCs w:val="24"/>
          <w:lang w:val="bg-BG"/>
        </w:rPr>
      </w:pPr>
      <w:r w:rsidRPr="00B15714">
        <w:rPr>
          <w:rFonts w:cstheme="minorHAnsi"/>
          <w:noProof/>
          <w:sz w:val="24"/>
          <w:szCs w:val="24"/>
          <w:lang w:val="bg-BG"/>
        </w:rPr>
        <w:tab/>
        <w:t xml:space="preserve">Диаграмите топене-втвърдяване са много разнообразни. В най-общ план разнообразните диаграми могат да </w:t>
      </w:r>
      <w:r w:rsidR="00B15714" w:rsidRPr="00B15714">
        <w:rPr>
          <w:rFonts w:cstheme="minorHAnsi"/>
          <w:noProof/>
          <w:sz w:val="24"/>
          <w:szCs w:val="24"/>
          <w:lang w:val="bg-BG"/>
        </w:rPr>
        <w:t xml:space="preserve"> бъдат разделени на 3 типа.</w:t>
      </w:r>
    </w:p>
    <w:p w:rsidR="00B15714" w:rsidRPr="00B15714" w:rsidRDefault="00B15714" w:rsidP="00B15714">
      <w:pPr>
        <w:framePr w:wrap="notBeside" w:vAnchor="text" w:hAnchor="text" w:xAlign="center" w:y="1"/>
        <w:jc w:val="center"/>
        <w:rPr>
          <w:noProof/>
          <w:sz w:val="0"/>
          <w:szCs w:val="0"/>
          <w:lang w:val="bg-BG"/>
        </w:rPr>
      </w:pPr>
      <w:r w:rsidRPr="00B15714">
        <w:rPr>
          <w:noProof/>
          <w:lang w:val="bg-BG"/>
        </w:rPr>
        <w:drawing>
          <wp:inline distT="0" distB="0" distL="0" distR="0">
            <wp:extent cx="3481070" cy="1337310"/>
            <wp:effectExtent l="19050" t="0" r="5080" b="0"/>
            <wp:docPr id="1" name="Picture 1" descr="imag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2"/>
                    <pic:cNvPicPr>
                      <a:picLocks noChangeAspect="1" noChangeArrowheads="1"/>
                    </pic:cNvPicPr>
                  </pic:nvPicPr>
                  <pic:blipFill>
                    <a:blip r:embed="rId5"/>
                    <a:srcRect/>
                    <a:stretch>
                      <a:fillRect/>
                    </a:stretch>
                  </pic:blipFill>
                  <pic:spPr bwMode="auto">
                    <a:xfrm>
                      <a:off x="0" y="0"/>
                      <a:ext cx="3481070" cy="1337310"/>
                    </a:xfrm>
                    <a:prstGeom prst="rect">
                      <a:avLst/>
                    </a:prstGeom>
                    <a:noFill/>
                    <a:ln w="9525">
                      <a:noFill/>
                      <a:miter lim="800000"/>
                      <a:headEnd/>
                      <a:tailEnd/>
                    </a:ln>
                  </pic:spPr>
                </pic:pic>
              </a:graphicData>
            </a:graphic>
          </wp:inline>
        </w:drawing>
      </w:r>
    </w:p>
    <w:p w:rsidR="00B15714" w:rsidRPr="00B15714" w:rsidRDefault="00B15714" w:rsidP="00B15714">
      <w:pPr>
        <w:rPr>
          <w:rFonts w:cstheme="minorHAnsi"/>
          <w:i/>
          <w:iCs/>
          <w:noProof/>
          <w:sz w:val="24"/>
          <w:szCs w:val="24"/>
          <w:lang w:val="bg-BG"/>
        </w:rPr>
      </w:pPr>
      <w:r w:rsidRPr="00B15714">
        <w:rPr>
          <w:rFonts w:cstheme="minorHAnsi"/>
          <w:i/>
          <w:iCs/>
          <w:noProof/>
          <w:sz w:val="24"/>
          <w:szCs w:val="24"/>
          <w:lang w:val="bg-BG"/>
        </w:rPr>
        <w:t>а) Непрекъснати твърди и течни разтвори: L — линия на ликвидус, S— линия на солидус б) Евтектическа диаграма с области на твърди разтвори а и в) Дистетическа диаграма на състояние с области от твърди разтвори (състои се от две евтектически диаграми с една дистектическа точка)</w:t>
      </w:r>
    </w:p>
    <w:p w:rsidR="00B15714" w:rsidRPr="00B15714" w:rsidRDefault="00B15714" w:rsidP="00B15714">
      <w:pPr>
        <w:rPr>
          <w:rFonts w:cstheme="minorHAnsi"/>
          <w:noProof/>
          <w:sz w:val="24"/>
          <w:szCs w:val="24"/>
          <w:lang w:val="bg-BG"/>
        </w:rPr>
      </w:pPr>
      <w:r w:rsidRPr="00B15714">
        <w:rPr>
          <w:rFonts w:cstheme="minorHAnsi"/>
          <w:noProof/>
          <w:sz w:val="24"/>
          <w:szCs w:val="24"/>
          <w:lang w:val="bg-BG"/>
        </w:rPr>
        <w:t>При малки концентрации на примесите от цялата фазова диаграма е интересен само ъгълът около температурата на топене на чистия компонент. Тогава изчезва разликата между отделните фазови диаграми. Цялото им многообразие може да се сведе до два отрязъка, допирателни към линиите на солидуса и ликвидуса в точката на топене па основния компонент. Тези отрязъци са насочени надолу, ако примесът понижава температурата на топене на разтвора, и нагоре, ако температурата на топене се повишава.</w:t>
      </w:r>
    </w:p>
    <w:p w:rsidR="00B15714" w:rsidRPr="00B15714" w:rsidRDefault="00B15714" w:rsidP="00B15714">
      <w:pPr>
        <w:numPr>
          <w:ilvl w:val="0"/>
          <w:numId w:val="1"/>
        </w:numPr>
        <w:rPr>
          <w:rFonts w:cstheme="minorHAnsi"/>
          <w:noProof/>
          <w:sz w:val="24"/>
          <w:szCs w:val="24"/>
          <w:lang w:val="bg-BG"/>
        </w:rPr>
      </w:pPr>
      <w:r w:rsidRPr="00B15714">
        <w:rPr>
          <w:rFonts w:cstheme="minorHAnsi"/>
          <w:noProof/>
          <w:sz w:val="24"/>
          <w:szCs w:val="24"/>
          <w:lang w:val="bg-BG"/>
        </w:rPr>
        <w:t>солидус - линията, разделяща областите на твърд разтвор и течност плюс твърд разтвор;</w:t>
      </w:r>
    </w:p>
    <w:p w:rsidR="00B15714" w:rsidRPr="00B15714" w:rsidRDefault="00B15714" w:rsidP="00B15714">
      <w:pPr>
        <w:numPr>
          <w:ilvl w:val="0"/>
          <w:numId w:val="1"/>
        </w:numPr>
        <w:rPr>
          <w:rFonts w:cstheme="minorHAnsi"/>
          <w:noProof/>
          <w:sz w:val="24"/>
          <w:szCs w:val="24"/>
          <w:lang w:val="bg-BG"/>
        </w:rPr>
      </w:pPr>
      <w:r w:rsidRPr="00B15714">
        <w:rPr>
          <w:rFonts w:cstheme="minorHAnsi"/>
          <w:noProof/>
          <w:sz w:val="24"/>
          <w:szCs w:val="24"/>
          <w:lang w:val="bg-BG"/>
        </w:rPr>
        <w:t>ликвидус - линията, разделяща областите - течност и областта течност плюс твърд разтвор.</w:t>
      </w:r>
    </w:p>
    <w:p w:rsidR="00B15714" w:rsidRDefault="00B15714" w:rsidP="00B15714">
      <w:pPr>
        <w:rPr>
          <w:rFonts w:cstheme="minorHAnsi"/>
          <w:b/>
          <w:bCs/>
          <w:i/>
          <w:iCs/>
          <w:noProof/>
          <w:sz w:val="24"/>
          <w:szCs w:val="24"/>
          <w:lang w:val="bg-BG"/>
        </w:rPr>
      </w:pPr>
    </w:p>
    <w:p w:rsidR="00B15714" w:rsidRPr="00B15714" w:rsidRDefault="00B15714" w:rsidP="00B15714">
      <w:pPr>
        <w:rPr>
          <w:rFonts w:cstheme="minorHAnsi"/>
          <w:b/>
          <w:bCs/>
          <w:i/>
          <w:iCs/>
          <w:noProof/>
          <w:sz w:val="24"/>
          <w:szCs w:val="24"/>
          <w:lang w:val="bg-BG"/>
        </w:rPr>
      </w:pPr>
      <w:r w:rsidRPr="00B15714">
        <w:rPr>
          <w:rFonts w:cstheme="minorHAnsi"/>
          <w:b/>
          <w:bCs/>
          <w:i/>
          <w:iCs/>
          <w:noProof/>
          <w:sz w:val="24"/>
          <w:szCs w:val="24"/>
          <w:lang w:val="bg-BG"/>
        </w:rPr>
        <w:lastRenderedPageBreak/>
        <w:t>Принцип на очистване чрез кристализация</w:t>
      </w:r>
    </w:p>
    <w:p w:rsidR="000042B6" w:rsidRDefault="000042B6" w:rsidP="00B15714">
      <w:pPr>
        <w:rPr>
          <w:rFonts w:cstheme="minorHAnsi"/>
          <w:bCs/>
          <w:noProof/>
          <w:sz w:val="24"/>
          <w:szCs w:val="24"/>
        </w:rPr>
      </w:pPr>
      <w:r w:rsidRPr="000042B6">
        <w:rPr>
          <w:rFonts w:cstheme="minorHAnsi"/>
          <w:bCs/>
          <w:noProof/>
          <w:sz w:val="24"/>
          <w:szCs w:val="24"/>
        </w:rPr>
        <w:t>Методите за очистване чрез кристализация се използуват в крайния стадий на технологичния процес на очистване и водят до получаване на пределна физическа и химическа чистота на получения материал. За решаване на тази задача кристализацията трябва да тпочва в строго зададени места и да сс провежда в определена посока. Такава кристализация се нарича насочена. Локализацията на мястото и посоката на кристализация на практика става чрез задаване на градиент във външен параметър, предизвикващ кристализацията. Най-често този параметър е температурата, т.е. задава се температурен градиент, осигуряващ насочено отвеждане на топлина и насочено предвижване па фронта на кристализация. Според конструктивното оформление съществуват много методи за насочена кристализация</w:t>
      </w:r>
    </w:p>
    <w:p w:rsidR="000042B6" w:rsidRPr="000042B6" w:rsidRDefault="000042B6" w:rsidP="000042B6">
      <w:pPr>
        <w:rPr>
          <w:rFonts w:cstheme="minorHAnsi"/>
          <w:noProof/>
          <w:sz w:val="24"/>
          <w:szCs w:val="24"/>
        </w:rPr>
      </w:pPr>
      <w:r w:rsidRPr="000042B6">
        <w:rPr>
          <w:rFonts w:cstheme="minorHAnsi"/>
          <w:noProof/>
          <w:sz w:val="24"/>
          <w:szCs w:val="24"/>
        </w:rPr>
        <w:t>Те могат да бъдат сведени към три основни:</w:t>
      </w:r>
    </w:p>
    <w:p w:rsidR="000042B6" w:rsidRPr="000042B6" w:rsidRDefault="000042B6" w:rsidP="000042B6">
      <w:pPr>
        <w:rPr>
          <w:rFonts w:cstheme="minorHAnsi"/>
          <w:noProof/>
          <w:sz w:val="24"/>
          <w:szCs w:val="24"/>
        </w:rPr>
      </w:pPr>
      <w:r>
        <w:rPr>
          <w:rFonts w:cstheme="minorHAnsi"/>
          <w:noProof/>
          <w:sz w:val="24"/>
          <w:szCs w:val="24"/>
        </w:rPr>
        <w:t>-</w:t>
      </w:r>
      <w:r w:rsidRPr="000042B6">
        <w:rPr>
          <w:rFonts w:cstheme="minorHAnsi"/>
          <w:noProof/>
          <w:sz w:val="24"/>
          <w:szCs w:val="24"/>
        </w:rPr>
        <w:t xml:space="preserve"> изтегляне на монокристали от стопилки (за първи път предло</w:t>
      </w:r>
      <w:r w:rsidRPr="000042B6">
        <w:rPr>
          <w:rFonts w:cstheme="minorHAnsi"/>
          <w:noProof/>
          <w:sz w:val="24"/>
          <w:szCs w:val="24"/>
        </w:rPr>
        <w:softHyphen/>
        <w:t>жено от Чохралски);</w:t>
      </w:r>
    </w:p>
    <w:p w:rsidR="000042B6" w:rsidRPr="000042B6" w:rsidRDefault="000042B6" w:rsidP="000042B6">
      <w:pPr>
        <w:rPr>
          <w:rFonts w:cstheme="minorHAnsi"/>
          <w:noProof/>
          <w:sz w:val="24"/>
          <w:szCs w:val="24"/>
        </w:rPr>
      </w:pPr>
      <w:r w:rsidRPr="000042B6">
        <w:rPr>
          <w:rFonts w:cstheme="minorHAnsi"/>
          <w:noProof/>
          <w:sz w:val="24"/>
          <w:szCs w:val="24"/>
        </w:rPr>
        <w:t>- нормална насочена кристализация - предложена от Бриджмен;</w:t>
      </w:r>
    </w:p>
    <w:p w:rsidR="000042B6" w:rsidRPr="000042B6" w:rsidRDefault="000042B6" w:rsidP="000042B6">
      <w:pPr>
        <w:rPr>
          <w:rFonts w:cstheme="minorHAnsi"/>
          <w:noProof/>
          <w:sz w:val="24"/>
          <w:szCs w:val="24"/>
        </w:rPr>
      </w:pPr>
      <w:r w:rsidRPr="000042B6">
        <w:rPr>
          <w:rFonts w:cstheme="minorHAnsi"/>
          <w:noProof/>
          <w:sz w:val="24"/>
          <w:szCs w:val="24"/>
        </w:rPr>
        <w:t>- зонно топене - предложено от Пфан.</w:t>
      </w:r>
    </w:p>
    <w:p w:rsidR="000042B6" w:rsidRPr="000042B6" w:rsidRDefault="000042B6" w:rsidP="00B15714">
      <w:pPr>
        <w:rPr>
          <w:rFonts w:cstheme="minorHAnsi"/>
          <w:noProof/>
          <w:sz w:val="24"/>
          <w:szCs w:val="24"/>
        </w:rPr>
      </w:pPr>
    </w:p>
    <w:sectPr w:rsidR="000042B6" w:rsidRPr="000042B6" w:rsidSect="00B15714">
      <w:pgSz w:w="12240" w:h="15840"/>
      <w:pgMar w:top="1440" w:right="758" w:bottom="144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F5365"/>
    <w:multiLevelType w:val="multilevel"/>
    <w:tmpl w:val="2DBE4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C053D0E"/>
    <w:multiLevelType w:val="multilevel"/>
    <w:tmpl w:val="F196CAC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2209"/>
    <w:rsid w:val="000042B6"/>
    <w:rsid w:val="005D2209"/>
    <w:rsid w:val="007575D7"/>
    <w:rsid w:val="009D435B"/>
    <w:rsid w:val="00B157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5D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57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7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Magic Keca</Company>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Keca</dc:creator>
  <cp:lastModifiedBy>Keca</cp:lastModifiedBy>
  <cp:revision>1</cp:revision>
  <dcterms:created xsi:type="dcterms:W3CDTF">2012-01-05T14:25:00Z</dcterms:created>
  <dcterms:modified xsi:type="dcterms:W3CDTF">2012-01-05T15:11:00Z</dcterms:modified>
</cp:coreProperties>
</file>