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7B2" w:rsidRDefault="000E7344" w:rsidP="000E7344">
      <w:pPr>
        <w:jc w:val="center"/>
        <w:rPr>
          <w:rStyle w:val="Bodytext3"/>
          <w:rFonts w:asciiTheme="majorHAnsi" w:eastAsiaTheme="minorHAnsi" w:hAnsiTheme="majorHAnsi"/>
          <w:noProof/>
          <w:sz w:val="28"/>
          <w:szCs w:val="28"/>
          <w:lang w:val="bg-BG"/>
        </w:rPr>
      </w:pPr>
      <w:r w:rsidRPr="000E7344">
        <w:rPr>
          <w:rStyle w:val="Bodytext3"/>
          <w:rFonts w:asciiTheme="majorHAnsi" w:eastAsiaTheme="minorHAnsi" w:hAnsiTheme="majorHAnsi"/>
          <w:noProof/>
          <w:sz w:val="28"/>
          <w:szCs w:val="28"/>
        </w:rPr>
        <w:t>ЗОННО ТОПЕНЕ</w:t>
      </w:r>
    </w:p>
    <w:p w:rsidR="000E7344" w:rsidRDefault="000E7344" w:rsidP="000E7344">
      <w:pPr>
        <w:jc w:val="center"/>
        <w:rPr>
          <w:rStyle w:val="Bodytext3"/>
          <w:rFonts w:asciiTheme="majorHAnsi" w:eastAsiaTheme="minorHAnsi" w:hAnsiTheme="majorHAnsi"/>
          <w:noProof/>
          <w:sz w:val="28"/>
          <w:szCs w:val="28"/>
          <w:lang w:val="bg-BG"/>
        </w:rPr>
      </w:pPr>
    </w:p>
    <w:p w:rsidR="000E7344" w:rsidRPr="000E7344" w:rsidRDefault="000E7344" w:rsidP="000E7344">
      <w:pPr>
        <w:rPr>
          <w:rFonts w:cstheme="minorHAnsi"/>
          <w:noProof/>
          <w:sz w:val="24"/>
          <w:szCs w:val="24"/>
        </w:rPr>
      </w:pPr>
      <w:r w:rsidRPr="000E7344">
        <w:rPr>
          <w:rFonts w:cstheme="minorHAnsi"/>
          <w:noProof/>
          <w:sz w:val="24"/>
          <w:szCs w:val="24"/>
        </w:rPr>
        <w:t>Този метод се използува за дълбоко очистване на веществата и изтегляне на монокристали. Предимствата на метода са, че едновременно с израстването на кристала има възможност за еднородното му легиране. Използуват се хоризонтален и вертикален вариант.</w:t>
      </w:r>
    </w:p>
    <w:p w:rsidR="000E7344" w:rsidRPr="000E7344" w:rsidRDefault="000E7344" w:rsidP="000E7344">
      <w:pPr>
        <w:rPr>
          <w:rFonts w:cstheme="minorHAnsi"/>
          <w:noProof/>
          <w:sz w:val="24"/>
          <w:szCs w:val="24"/>
        </w:rPr>
      </w:pPr>
      <w:r w:rsidRPr="000E7344">
        <w:rPr>
          <w:rFonts w:cstheme="minorHAnsi"/>
          <w:noProof/>
          <w:sz w:val="24"/>
          <w:szCs w:val="24"/>
        </w:rPr>
        <w:t>Хоризонтално зонно топене - кристализиращият материал се пос</w:t>
      </w:r>
      <w:r w:rsidRPr="000E7344">
        <w:rPr>
          <w:rFonts w:cstheme="minorHAnsi"/>
          <w:noProof/>
          <w:sz w:val="24"/>
          <w:szCs w:val="24"/>
        </w:rPr>
        <w:softHyphen/>
        <w:t>тавя в тигел (фиг. 3.10, а). В единия край на тигела има монокристален зародиш. В началния момент разтопената зона (РЗ) е на границата зародиш - изходен материал. Частично се разтопява зародишът. Преместването на разтопената зона от зародиша към другия край на тигела осигурява нарастването на монокристала.</w:t>
      </w:r>
    </w:p>
    <w:p w:rsidR="000E7344" w:rsidRPr="000E7344" w:rsidRDefault="000E7344" w:rsidP="000E7344">
      <w:pPr>
        <w:rPr>
          <w:rFonts w:cstheme="minorHAnsi"/>
          <w:noProof/>
          <w:sz w:val="24"/>
          <w:szCs w:val="24"/>
        </w:rPr>
      </w:pPr>
      <w:r w:rsidRPr="000E7344">
        <w:rPr>
          <w:rFonts w:cstheme="minorHAnsi"/>
          <w:noProof/>
          <w:sz w:val="24"/>
          <w:szCs w:val="24"/>
        </w:rPr>
        <w:t>Голямо предимство на този метод е възможността за израстване на монокристали без тигел - метод на плаващата зона.</w:t>
      </w:r>
    </w:p>
    <w:p w:rsidR="000E7344" w:rsidRDefault="000E7344" w:rsidP="000E7344">
      <w:pPr>
        <w:rPr>
          <w:rFonts w:cstheme="minorHAnsi"/>
          <w:noProof/>
          <w:sz w:val="24"/>
          <w:szCs w:val="24"/>
          <w:lang w:val="bg-BG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4562475" cy="26955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7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344" w:rsidRPr="000E7344" w:rsidRDefault="000E7344" w:rsidP="000E7344">
      <w:pPr>
        <w:rPr>
          <w:rFonts w:cstheme="minorHAnsi"/>
          <w:noProof/>
          <w:sz w:val="24"/>
          <w:szCs w:val="24"/>
        </w:rPr>
      </w:pPr>
      <w:r w:rsidRPr="000E7344">
        <w:rPr>
          <w:rFonts w:cstheme="minorHAnsi"/>
          <w:noProof/>
          <w:sz w:val="24"/>
          <w:szCs w:val="24"/>
        </w:rPr>
        <w:t>Достойнствата на метода могат да бъдат формулирани така:</w:t>
      </w:r>
    </w:p>
    <w:p w:rsidR="000E7344" w:rsidRPr="000E7344" w:rsidRDefault="000E7344" w:rsidP="000E7344">
      <w:pPr>
        <w:numPr>
          <w:ilvl w:val="1"/>
          <w:numId w:val="1"/>
        </w:numPr>
        <w:rPr>
          <w:rFonts w:cstheme="minorHAnsi"/>
          <w:noProof/>
          <w:sz w:val="24"/>
          <w:szCs w:val="24"/>
        </w:rPr>
      </w:pPr>
      <w:r w:rsidRPr="000E7344">
        <w:rPr>
          <w:rFonts w:cstheme="minorHAnsi"/>
          <w:noProof/>
          <w:sz w:val="24"/>
          <w:szCs w:val="24"/>
        </w:rPr>
        <w:t>Няма замърсявания от тигела;</w:t>
      </w:r>
    </w:p>
    <w:p w:rsidR="000E7344" w:rsidRPr="000E7344" w:rsidRDefault="000E7344" w:rsidP="000E7344">
      <w:pPr>
        <w:numPr>
          <w:ilvl w:val="1"/>
          <w:numId w:val="1"/>
        </w:numPr>
        <w:rPr>
          <w:rFonts w:cstheme="minorHAnsi"/>
          <w:noProof/>
          <w:sz w:val="24"/>
          <w:szCs w:val="24"/>
        </w:rPr>
      </w:pPr>
      <w:r w:rsidRPr="000E7344">
        <w:rPr>
          <w:rFonts w:cstheme="minorHAnsi"/>
          <w:noProof/>
          <w:sz w:val="24"/>
          <w:szCs w:val="24"/>
        </w:rPr>
        <w:t>Няма дефекти поради различните температурни коефициенти на линейно разширение;</w:t>
      </w:r>
    </w:p>
    <w:p w:rsidR="000E7344" w:rsidRPr="000E7344" w:rsidRDefault="000E7344" w:rsidP="000E7344">
      <w:pPr>
        <w:numPr>
          <w:ilvl w:val="1"/>
          <w:numId w:val="1"/>
        </w:numPr>
        <w:rPr>
          <w:rFonts w:cstheme="minorHAnsi"/>
          <w:noProof/>
          <w:sz w:val="24"/>
          <w:szCs w:val="24"/>
        </w:rPr>
      </w:pPr>
      <w:r w:rsidRPr="000E7344">
        <w:rPr>
          <w:rFonts w:cstheme="minorHAnsi"/>
          <w:noProof/>
          <w:sz w:val="24"/>
          <w:szCs w:val="24"/>
        </w:rPr>
        <w:t>Използува се при получаване на особено чисти монокристали:</w:t>
      </w:r>
    </w:p>
    <w:p w:rsidR="000E7344" w:rsidRPr="000E7344" w:rsidRDefault="000E7344" w:rsidP="000E7344">
      <w:pPr>
        <w:numPr>
          <w:ilvl w:val="0"/>
          <w:numId w:val="1"/>
        </w:numPr>
        <w:rPr>
          <w:rFonts w:cstheme="minorHAnsi"/>
          <w:noProof/>
          <w:sz w:val="24"/>
          <w:szCs w:val="24"/>
        </w:rPr>
      </w:pPr>
      <w:r w:rsidRPr="000E7344">
        <w:rPr>
          <w:rFonts w:cstheme="minorHAnsi"/>
          <w:noProof/>
          <w:sz w:val="24"/>
          <w:szCs w:val="24"/>
        </w:rPr>
        <w:lastRenderedPageBreak/>
        <w:t>материали с висока температура на топене, притежаващи висока реакционна способност в разтопено състояние.</w:t>
      </w:r>
    </w:p>
    <w:p w:rsidR="000E7344" w:rsidRPr="000E7344" w:rsidRDefault="000E7344" w:rsidP="000E7344">
      <w:pPr>
        <w:rPr>
          <w:rFonts w:cstheme="minorHAnsi"/>
          <w:noProof/>
          <w:sz w:val="24"/>
          <w:szCs w:val="24"/>
        </w:rPr>
      </w:pPr>
      <w:r w:rsidRPr="000E7344">
        <w:rPr>
          <w:rFonts w:cstheme="minorHAnsi"/>
          <w:noProof/>
          <w:sz w:val="24"/>
          <w:szCs w:val="24"/>
        </w:rPr>
        <w:t>Формирането на разтопената зона може да стане чрез:</w:t>
      </w:r>
    </w:p>
    <w:p w:rsidR="000E7344" w:rsidRPr="000E7344" w:rsidRDefault="000E7344" w:rsidP="000E7344">
      <w:pPr>
        <w:numPr>
          <w:ilvl w:val="0"/>
          <w:numId w:val="1"/>
        </w:numPr>
        <w:rPr>
          <w:rFonts w:cstheme="minorHAnsi"/>
          <w:noProof/>
          <w:sz w:val="24"/>
          <w:szCs w:val="24"/>
        </w:rPr>
      </w:pPr>
      <w:r w:rsidRPr="000E7344">
        <w:rPr>
          <w:rFonts w:cstheme="minorHAnsi"/>
          <w:noProof/>
          <w:sz w:val="24"/>
          <w:szCs w:val="24"/>
        </w:rPr>
        <w:t>високочестотно нагряване;</w:t>
      </w:r>
    </w:p>
    <w:p w:rsidR="000E7344" w:rsidRPr="000E7344" w:rsidRDefault="000E7344" w:rsidP="000E7344">
      <w:pPr>
        <w:numPr>
          <w:ilvl w:val="0"/>
          <w:numId w:val="1"/>
        </w:numPr>
        <w:rPr>
          <w:rFonts w:cstheme="minorHAnsi"/>
          <w:noProof/>
          <w:sz w:val="24"/>
          <w:szCs w:val="24"/>
        </w:rPr>
      </w:pPr>
      <w:r w:rsidRPr="000E7344">
        <w:rPr>
          <w:rFonts w:cstheme="minorHAnsi"/>
          <w:noProof/>
          <w:sz w:val="24"/>
          <w:szCs w:val="24"/>
        </w:rPr>
        <w:t>електронно-лъчево нагряване;</w:t>
      </w:r>
    </w:p>
    <w:p w:rsidR="000E7344" w:rsidRPr="000E7344" w:rsidRDefault="000E7344" w:rsidP="000E7344">
      <w:pPr>
        <w:numPr>
          <w:ilvl w:val="0"/>
          <w:numId w:val="1"/>
        </w:numPr>
        <w:rPr>
          <w:rFonts w:cstheme="minorHAnsi"/>
          <w:noProof/>
          <w:sz w:val="24"/>
          <w:szCs w:val="24"/>
        </w:rPr>
      </w:pPr>
      <w:r w:rsidRPr="000E7344">
        <w:rPr>
          <w:rFonts w:cstheme="minorHAnsi"/>
          <w:noProof/>
          <w:sz w:val="24"/>
          <w:szCs w:val="24"/>
        </w:rPr>
        <w:t>фокусирано излъчване от източник на лъчиста енергия.</w:t>
      </w:r>
    </w:p>
    <w:p w:rsidR="000E7344" w:rsidRPr="000E7344" w:rsidRDefault="000E7344" w:rsidP="000E7344">
      <w:pPr>
        <w:rPr>
          <w:rFonts w:cstheme="minorHAnsi"/>
          <w:noProof/>
          <w:sz w:val="24"/>
          <w:szCs w:val="24"/>
        </w:rPr>
      </w:pPr>
      <w:r w:rsidRPr="000E7344">
        <w:rPr>
          <w:rFonts w:cstheme="minorHAnsi"/>
          <w:noProof/>
          <w:sz w:val="24"/>
          <w:szCs w:val="24"/>
        </w:rPr>
        <w:t>Високочестотното нагряване е за предпочитане, тъй като се</w:t>
      </w:r>
    </w:p>
    <w:p w:rsidR="000E7344" w:rsidRPr="000E7344" w:rsidRDefault="000E7344" w:rsidP="000E7344">
      <w:pPr>
        <w:rPr>
          <w:rFonts w:cstheme="minorHAnsi"/>
          <w:noProof/>
          <w:sz w:val="24"/>
          <w:szCs w:val="24"/>
        </w:rPr>
      </w:pPr>
      <w:r w:rsidRPr="000E7344">
        <w:rPr>
          <w:rFonts w:cstheme="minorHAnsi"/>
          <w:noProof/>
          <w:sz w:val="24"/>
          <w:szCs w:val="24"/>
        </w:rPr>
        <w:t>осигурява ефективно размесване на стопилката и изравняване на състава. Движението на зоната по дължината на образеца става или чрез движение на слитъка спрямо нагревателя, или обратно.</w:t>
      </w:r>
    </w:p>
    <w:p w:rsidR="000E7344" w:rsidRPr="000E7344" w:rsidRDefault="000E7344" w:rsidP="000E7344">
      <w:pPr>
        <w:rPr>
          <w:rFonts w:cstheme="minorHAnsi"/>
          <w:noProof/>
          <w:sz w:val="24"/>
          <w:szCs w:val="24"/>
          <w:lang w:val="bg-BG"/>
        </w:rPr>
      </w:pPr>
      <w:r w:rsidRPr="000E7344">
        <w:rPr>
          <w:rFonts w:cstheme="minorHAnsi"/>
          <w:noProof/>
          <w:sz w:val="24"/>
          <w:szCs w:val="24"/>
        </w:rPr>
        <w:t>При безтигелното зонно топене разтопената зона се удържа в образеца без изливане чрез силите на повърхностното напрежение. Формата на разтопената зона се определя от съотношението на силите на хидростатично налягане и повърхностното напрежение на с гопилката. Максималната височина на разтопената зона, при която тя остава стабилна, е толкова по-голяма, колкото по-голямо е отношението повърхностно напрежение към плътност на стопилката;</w:t>
      </w:r>
    </w:p>
    <w:sectPr w:rsidR="000E7344" w:rsidRPr="000E7344" w:rsidSect="00F417B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37FF2"/>
    <w:multiLevelType w:val="multilevel"/>
    <w:tmpl w:val="709A3E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7344"/>
    <w:rsid w:val="000E7344"/>
    <w:rsid w:val="00D23C8F"/>
    <w:rsid w:val="00F41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7B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3">
    <w:name w:val="Body text (3)"/>
    <w:basedOn w:val="DefaultParagraphFont"/>
    <w:rsid w:val="000E73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7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3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Magic Keca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1</cp:revision>
  <dcterms:created xsi:type="dcterms:W3CDTF">2012-01-04T19:49:00Z</dcterms:created>
  <dcterms:modified xsi:type="dcterms:W3CDTF">2012-01-04T20:08:00Z</dcterms:modified>
</cp:coreProperties>
</file>